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C0994" w14:textId="45B91BA6" w:rsidR="00900DA5" w:rsidRDefault="00900DA5" w:rsidP="0060328A">
      <w:pPr>
        <w:pStyle w:val="Heading1"/>
        <w:spacing w:line="276" w:lineRule="auto"/>
        <w:jc w:val="both"/>
      </w:pPr>
      <w:bookmarkStart w:id="0" w:name="_Toc427918385"/>
      <w:bookmarkStart w:id="1" w:name="_Toc447096832"/>
      <w:r>
        <w:rPr>
          <w:noProof/>
          <w:lang w:val="nl-NL"/>
        </w:rPr>
        <w:drawing>
          <wp:anchor distT="0" distB="0" distL="114300" distR="114300" simplePos="0" relativeHeight="251663360" behindDoc="0" locked="0" layoutInCell="1" allowOverlap="1" wp14:anchorId="20AC0080" wp14:editId="4F348EC1">
            <wp:simplePos x="0" y="0"/>
            <wp:positionH relativeFrom="column">
              <wp:posOffset>-898525</wp:posOffset>
            </wp:positionH>
            <wp:positionV relativeFrom="paragraph">
              <wp:posOffset>-1066799</wp:posOffset>
            </wp:positionV>
            <wp:extent cx="7559008" cy="10692338"/>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htergrond voorpagina"/>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008" cy="106923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p>
    <w:p w14:paraId="401848DC" w14:textId="77777777" w:rsidR="00900DA5" w:rsidRDefault="00900DA5" w:rsidP="0060328A">
      <w:pPr>
        <w:pStyle w:val="Heading1"/>
        <w:spacing w:line="276" w:lineRule="auto"/>
        <w:jc w:val="both"/>
      </w:pPr>
    </w:p>
    <w:p w14:paraId="7EAFEE71" w14:textId="77777777" w:rsidR="00900DA5" w:rsidRDefault="00900DA5" w:rsidP="0060328A">
      <w:pPr>
        <w:pStyle w:val="Heading1"/>
        <w:spacing w:line="276" w:lineRule="auto"/>
        <w:jc w:val="both"/>
      </w:pPr>
    </w:p>
    <w:p w14:paraId="3E5B730A" w14:textId="77777777" w:rsidR="00900DA5" w:rsidRDefault="00900DA5" w:rsidP="0060328A">
      <w:pPr>
        <w:pStyle w:val="Heading1"/>
        <w:spacing w:line="276" w:lineRule="auto"/>
        <w:jc w:val="both"/>
      </w:pPr>
    </w:p>
    <w:p w14:paraId="55592890" w14:textId="77777777" w:rsidR="00900DA5" w:rsidRDefault="00900DA5" w:rsidP="0060328A">
      <w:pPr>
        <w:pStyle w:val="Heading1"/>
        <w:spacing w:line="276" w:lineRule="auto"/>
        <w:jc w:val="both"/>
      </w:pPr>
    </w:p>
    <w:p w14:paraId="587605A9" w14:textId="77777777" w:rsidR="00900DA5" w:rsidRDefault="00900DA5" w:rsidP="0060328A">
      <w:pPr>
        <w:pStyle w:val="Heading1"/>
        <w:spacing w:line="276" w:lineRule="auto"/>
        <w:jc w:val="both"/>
      </w:pPr>
    </w:p>
    <w:p w14:paraId="42C40D12" w14:textId="77777777" w:rsidR="00900DA5" w:rsidRDefault="00900DA5" w:rsidP="0060328A">
      <w:pPr>
        <w:pStyle w:val="Heading1"/>
        <w:spacing w:line="276" w:lineRule="auto"/>
        <w:jc w:val="both"/>
      </w:pPr>
    </w:p>
    <w:p w14:paraId="76363BDC" w14:textId="49EE82D9" w:rsidR="00900DA5" w:rsidRDefault="002C48A4" w:rsidP="0060328A">
      <w:pPr>
        <w:pStyle w:val="Heading1"/>
        <w:spacing w:line="276" w:lineRule="auto"/>
        <w:jc w:val="both"/>
      </w:pPr>
      <w:bookmarkStart w:id="2" w:name="_Toc427918386"/>
      <w:bookmarkStart w:id="3" w:name="_Toc447096833"/>
      <w:r w:rsidRPr="002C48A4">
        <w:rPr>
          <w:noProof/>
          <w:lang w:val="nl-NL"/>
        </w:rPr>
        <mc:AlternateContent>
          <mc:Choice Requires="wps">
            <w:drawing>
              <wp:anchor distT="152400" distB="152400" distL="152400" distR="152400" simplePos="0" relativeHeight="251667456" behindDoc="0" locked="0" layoutInCell="1" allowOverlap="1" wp14:anchorId="5E1EAE19" wp14:editId="5A09EB2B">
                <wp:simplePos x="0" y="0"/>
                <wp:positionH relativeFrom="page">
                  <wp:posOffset>1263650</wp:posOffset>
                </wp:positionH>
                <wp:positionV relativeFrom="page">
                  <wp:posOffset>3911600</wp:posOffset>
                </wp:positionV>
                <wp:extent cx="5016500" cy="1397000"/>
                <wp:effectExtent l="0" t="0" r="12700" b="0"/>
                <wp:wrapSquare wrapText="bothSides"/>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640CCE" w14:textId="3CBCAD1D" w:rsidR="00B75EF8" w:rsidRPr="008915CA" w:rsidRDefault="00B75EF8" w:rsidP="002C48A4">
                            <w:pPr>
                              <w:pStyle w:val="Heading1"/>
                              <w:jc w:val="center"/>
                              <w:rPr>
                                <w:sz w:val="44"/>
                                <w:szCs w:val="44"/>
                              </w:rPr>
                            </w:pPr>
                            <w:bookmarkStart w:id="4" w:name="_Toc447096834"/>
                            <w:r>
                              <w:rPr>
                                <w:sz w:val="44"/>
                                <w:szCs w:val="44"/>
                              </w:rPr>
                              <w:t>Extension of GEDI indicators</w:t>
                            </w:r>
                            <w:bookmarkEnd w:id="4"/>
                            <w:r>
                              <w:rPr>
                                <w:sz w:val="44"/>
                                <w:szCs w:val="44"/>
                              </w:rPr>
                              <w:t xml:space="preserve"> </w:t>
                            </w:r>
                          </w:p>
                          <w:p w14:paraId="144C0BC3" w14:textId="77777777" w:rsidR="00B75EF8" w:rsidRDefault="00B75EF8" w:rsidP="002C48A4">
                            <w:pPr>
                              <w:jc w:val="center"/>
                            </w:pPr>
                          </w:p>
                          <w:p w14:paraId="446BF1E9" w14:textId="65452956" w:rsidR="00B75EF8" w:rsidRPr="008915CA" w:rsidRDefault="00B75EF8" w:rsidP="002C48A4">
                            <w:pPr>
                              <w:jc w:val="center"/>
                              <w:rPr>
                                <w:sz w:val="22"/>
                                <w:szCs w:val="22"/>
                              </w:rPr>
                            </w:pPr>
                            <w:r>
                              <w:rPr>
                                <w:sz w:val="22"/>
                                <w:szCs w:val="22"/>
                              </w:rPr>
                              <w:t xml:space="preserve">Zoltan Acs and </w:t>
                            </w:r>
                            <w:proofErr w:type="spellStart"/>
                            <w:r w:rsidR="00BB2953">
                              <w:rPr>
                                <w:sz w:val="22"/>
                                <w:szCs w:val="22"/>
                              </w:rPr>
                              <w:t>László</w:t>
                            </w:r>
                            <w:proofErr w:type="spellEnd"/>
                            <w:r w:rsidR="00BB2953">
                              <w:rPr>
                                <w:sz w:val="22"/>
                                <w:szCs w:val="22"/>
                              </w:rPr>
                              <w:t xml:space="preserve"> </w:t>
                            </w:r>
                            <w:proofErr w:type="spellStart"/>
                            <w:r>
                              <w:rPr>
                                <w:sz w:val="22"/>
                                <w:szCs w:val="22"/>
                              </w:rPr>
                              <w:t>Szerb</w:t>
                            </w:r>
                            <w:proofErr w:type="spellEnd"/>
                          </w:p>
                          <w:p w14:paraId="7C2C48B7" w14:textId="77777777" w:rsidR="00B75EF8" w:rsidRDefault="00B75EF8" w:rsidP="002C48A4">
                            <w:pPr>
                              <w:spacing w:line="280" w:lineRule="atLeast"/>
                              <w:rPr>
                                <w:rFonts w:ascii="Times New Roman" w:eastAsia="Times New Roman" w:hAnsi="Times New Roman"/>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9.5pt;margin-top:308pt;width:395pt;height:110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" filled="f" stroked="f" strokeweight="1pt">
                <v:path arrowok="t"/>
                <v:textbox inset="0,0,0,0">
                  <w:txbxContent>
                    <w:p w14:paraId="37640CCE" w14:textId="3CBCAD1D" w:rsidR="00B75EF8" w:rsidRPr="008915CA" w:rsidRDefault="00B75EF8" w:rsidP="002C48A4">
                      <w:pPr>
                        <w:pStyle w:val="Heading1"/>
                        <w:jc w:val="center"/>
                        <w:rPr>
                          <w:sz w:val="44"/>
                          <w:szCs w:val="44"/>
                        </w:rPr>
                      </w:pPr>
                      <w:bookmarkStart w:id="5" w:name="_Toc447096834"/>
                      <w:r>
                        <w:rPr>
                          <w:sz w:val="44"/>
                          <w:szCs w:val="44"/>
                        </w:rPr>
                        <w:t>Extension of GEDI indicators</w:t>
                      </w:r>
                      <w:bookmarkEnd w:id="5"/>
                      <w:r>
                        <w:rPr>
                          <w:sz w:val="44"/>
                          <w:szCs w:val="44"/>
                        </w:rPr>
                        <w:t xml:space="preserve"> </w:t>
                      </w:r>
                    </w:p>
                    <w:p w14:paraId="144C0BC3" w14:textId="77777777" w:rsidR="00B75EF8" w:rsidRDefault="00B75EF8" w:rsidP="002C48A4">
                      <w:pPr>
                        <w:jc w:val="center"/>
                      </w:pPr>
                    </w:p>
                    <w:p w14:paraId="446BF1E9" w14:textId="65452956" w:rsidR="00B75EF8" w:rsidRPr="008915CA" w:rsidRDefault="00B75EF8" w:rsidP="002C48A4">
                      <w:pPr>
                        <w:jc w:val="center"/>
                        <w:rPr>
                          <w:sz w:val="22"/>
                          <w:szCs w:val="22"/>
                        </w:rPr>
                      </w:pPr>
                      <w:r>
                        <w:rPr>
                          <w:sz w:val="22"/>
                          <w:szCs w:val="22"/>
                        </w:rPr>
                        <w:t xml:space="preserve">Zoltan Acs and </w:t>
                      </w:r>
                      <w:proofErr w:type="spellStart"/>
                      <w:r w:rsidR="00BB2953">
                        <w:rPr>
                          <w:sz w:val="22"/>
                          <w:szCs w:val="22"/>
                        </w:rPr>
                        <w:t>László</w:t>
                      </w:r>
                      <w:proofErr w:type="spellEnd"/>
                      <w:r w:rsidR="00BB2953">
                        <w:rPr>
                          <w:sz w:val="22"/>
                          <w:szCs w:val="22"/>
                        </w:rPr>
                        <w:t xml:space="preserve"> </w:t>
                      </w:r>
                      <w:proofErr w:type="spellStart"/>
                      <w:r>
                        <w:rPr>
                          <w:sz w:val="22"/>
                          <w:szCs w:val="22"/>
                        </w:rPr>
                        <w:t>Szerb</w:t>
                      </w:r>
                      <w:proofErr w:type="spellEnd"/>
                    </w:p>
                    <w:p w14:paraId="7C2C48B7" w14:textId="77777777" w:rsidR="00B75EF8" w:rsidRDefault="00B75EF8" w:rsidP="002C48A4">
                      <w:pPr>
                        <w:spacing w:line="280" w:lineRule="atLeast"/>
                        <w:rPr>
                          <w:rFonts w:ascii="Times New Roman" w:eastAsia="Times New Roman" w:hAnsi="Times New Roman"/>
                          <w:lang w:bidi="x-none"/>
                        </w:rPr>
                      </w:pPr>
                    </w:p>
                  </w:txbxContent>
                </v:textbox>
                <w10:wrap type="square" anchorx="page" anchory="page"/>
              </v:rect>
            </w:pict>
          </mc:Fallback>
        </mc:AlternateContent>
      </w:r>
      <w:bookmarkEnd w:id="2"/>
      <w:bookmarkEnd w:id="3"/>
    </w:p>
    <w:p w14:paraId="19A35C56" w14:textId="2E171078" w:rsidR="00900DA5" w:rsidRDefault="00682A19" w:rsidP="0060328A">
      <w:pPr>
        <w:pStyle w:val="Heading1"/>
        <w:spacing w:line="276" w:lineRule="auto"/>
        <w:jc w:val="both"/>
      </w:pPr>
      <w:bookmarkStart w:id="6" w:name="_Toc427918388"/>
      <w:bookmarkStart w:id="7" w:name="_Toc447096835"/>
      <w:r w:rsidRPr="002C48A4">
        <w:rPr>
          <w:noProof/>
          <w:lang w:val="nl-NL"/>
        </w:rPr>
        <mc:AlternateContent>
          <mc:Choice Requires="wps">
            <w:drawing>
              <wp:anchor distT="152400" distB="152400" distL="152400" distR="152400" simplePos="0" relativeHeight="251669504" behindDoc="0" locked="0" layoutInCell="1" allowOverlap="1" wp14:anchorId="6DD9020E" wp14:editId="00A97214">
                <wp:simplePos x="0" y="0"/>
                <wp:positionH relativeFrom="page">
                  <wp:posOffset>3784600</wp:posOffset>
                </wp:positionH>
                <wp:positionV relativeFrom="page">
                  <wp:posOffset>6147435</wp:posOffset>
                </wp:positionV>
                <wp:extent cx="2603500" cy="3491865"/>
                <wp:effectExtent l="0" t="0" r="12700" b="13335"/>
                <wp:wrapSquare wrapText="bothSides"/>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349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91F8F5" w14:textId="77777777" w:rsidR="00B75EF8" w:rsidRPr="000F6E13" w:rsidRDefault="00B75EF8" w:rsidP="002C48A4">
                            <w:pPr>
                              <w:pStyle w:val="frontpageSubheading"/>
                              <w:rPr>
                                <w:sz w:val="20"/>
                                <w:szCs w:val="22"/>
                              </w:rPr>
                            </w:pPr>
                            <w:r w:rsidRPr="000F6E13">
                              <w:rPr>
                                <w:sz w:val="20"/>
                                <w:szCs w:val="22"/>
                              </w:rPr>
                              <w:t>Document Identifier</w:t>
                            </w:r>
                          </w:p>
                          <w:p w14:paraId="7F086CEB" w14:textId="2AF1BEA2" w:rsidR="00B75EF8" w:rsidRPr="000F6E13" w:rsidRDefault="00B75EF8" w:rsidP="008F4777">
                            <w:pPr>
                              <w:pStyle w:val="Vrijevorm"/>
                              <w:spacing w:line="280" w:lineRule="atLeast"/>
                              <w:rPr>
                                <w:rFonts w:asciiTheme="minorHAnsi" w:hAnsiTheme="minorHAnsi"/>
                                <w:color w:val="001C1C"/>
                                <w:sz w:val="20"/>
                                <w:szCs w:val="22"/>
                                <w:lang w:val="en-US"/>
                              </w:rPr>
                            </w:pPr>
                            <w:r>
                              <w:rPr>
                                <w:rFonts w:ascii="Calibri" w:hAnsi="Calibri"/>
                                <w:color w:val="001C1C"/>
                                <w:sz w:val="20"/>
                                <w:szCs w:val="22"/>
                                <w:lang w:val="en-US"/>
                              </w:rPr>
                              <w:t xml:space="preserve">D4.1 A review paper on the extension of the GEDI-indicator with additional indicators on financial, </w:t>
                            </w:r>
                            <w:proofErr w:type="spellStart"/>
                            <w:r>
                              <w:rPr>
                                <w:rFonts w:ascii="Calibri" w:hAnsi="Calibri"/>
                                <w:color w:val="001C1C"/>
                                <w:sz w:val="20"/>
                                <w:szCs w:val="22"/>
                                <w:lang w:val="en-US"/>
                              </w:rPr>
                              <w:t>labour</w:t>
                            </w:r>
                            <w:proofErr w:type="spellEnd"/>
                            <w:r>
                              <w:rPr>
                                <w:rFonts w:ascii="Calibri" w:hAnsi="Calibri"/>
                                <w:color w:val="001C1C"/>
                                <w:sz w:val="20"/>
                                <w:szCs w:val="22"/>
                                <w:lang w:val="en-US"/>
                              </w:rPr>
                              <w:t xml:space="preserve"> and knowledge institutions</w:t>
                            </w:r>
                          </w:p>
                          <w:p w14:paraId="429E3401" w14:textId="77777777" w:rsidR="00B75EF8" w:rsidRPr="000F6E13" w:rsidRDefault="00B75EF8" w:rsidP="002C48A4">
                            <w:pPr>
                              <w:pStyle w:val="frontpageSubheading"/>
                              <w:rPr>
                                <w:rFonts w:asciiTheme="minorHAnsi" w:hAnsiTheme="minorHAnsi"/>
                                <w:sz w:val="20"/>
                                <w:szCs w:val="22"/>
                              </w:rPr>
                            </w:pPr>
                          </w:p>
                          <w:p w14:paraId="4A3DD2F8" w14:textId="77777777" w:rsidR="00B75EF8" w:rsidRPr="000F6E13" w:rsidRDefault="00B75EF8" w:rsidP="002C48A4">
                            <w:pPr>
                              <w:pStyle w:val="frontpageSubheading"/>
                              <w:rPr>
                                <w:sz w:val="20"/>
                                <w:szCs w:val="22"/>
                              </w:rPr>
                            </w:pPr>
                            <w:r w:rsidRPr="000F6E13">
                              <w:rPr>
                                <w:sz w:val="20"/>
                                <w:szCs w:val="22"/>
                              </w:rPr>
                              <w:t>Version</w:t>
                            </w:r>
                          </w:p>
                          <w:p w14:paraId="40D34E4F" w14:textId="3D53F367" w:rsidR="00B75EF8" w:rsidRPr="000F6E13" w:rsidRDefault="00B75EF8" w:rsidP="002C48A4">
                            <w:pPr>
                              <w:rPr>
                                <w:szCs w:val="22"/>
                              </w:rPr>
                            </w:pPr>
                            <w:r w:rsidRPr="000F6E13">
                              <w:rPr>
                                <w:szCs w:val="22"/>
                              </w:rPr>
                              <w:t>1.0</w:t>
                            </w:r>
                          </w:p>
                          <w:p w14:paraId="056FFADA" w14:textId="77777777" w:rsidR="00B75EF8" w:rsidRPr="000F6E13" w:rsidRDefault="00B75EF8" w:rsidP="002C48A4">
                            <w:pPr>
                              <w:pStyle w:val="frontpageSubheading"/>
                              <w:rPr>
                                <w:sz w:val="20"/>
                                <w:szCs w:val="22"/>
                              </w:rPr>
                            </w:pPr>
                          </w:p>
                          <w:p w14:paraId="33F741FB" w14:textId="77777777" w:rsidR="00B75EF8" w:rsidRPr="000F6E13" w:rsidRDefault="00B75EF8" w:rsidP="002C48A4">
                            <w:pPr>
                              <w:pStyle w:val="frontpageSubheading"/>
                              <w:rPr>
                                <w:sz w:val="20"/>
                                <w:szCs w:val="22"/>
                              </w:rPr>
                            </w:pPr>
                            <w:r w:rsidRPr="000F6E13">
                              <w:rPr>
                                <w:sz w:val="20"/>
                                <w:szCs w:val="22"/>
                              </w:rPr>
                              <w:t>Date Due</w:t>
                            </w:r>
                          </w:p>
                          <w:p w14:paraId="2FAB0A49" w14:textId="67FCEFBB" w:rsidR="00B75EF8" w:rsidRPr="000F6E13" w:rsidRDefault="00B75EF8" w:rsidP="002C48A4">
                            <w:pPr>
                              <w:rPr>
                                <w:szCs w:val="22"/>
                              </w:rPr>
                            </w:pPr>
                            <w:r w:rsidRPr="000F6E13">
                              <w:rPr>
                                <w:szCs w:val="22"/>
                              </w:rPr>
                              <w:t>M</w:t>
                            </w:r>
                            <w:r>
                              <w:rPr>
                                <w:szCs w:val="22"/>
                              </w:rPr>
                              <w:t>9</w:t>
                            </w:r>
                          </w:p>
                          <w:p w14:paraId="4FB64CAA" w14:textId="77777777" w:rsidR="00B75EF8" w:rsidRPr="000F6E13" w:rsidRDefault="00B75EF8" w:rsidP="002C48A4">
                            <w:pPr>
                              <w:pStyle w:val="frontpageSubheading"/>
                              <w:rPr>
                                <w:color w:val="001C1C"/>
                                <w:sz w:val="20"/>
                                <w:szCs w:val="22"/>
                              </w:rPr>
                            </w:pPr>
                          </w:p>
                          <w:p w14:paraId="1FA7EDCD" w14:textId="77777777" w:rsidR="00B75EF8" w:rsidRPr="000F6E13" w:rsidRDefault="00B75EF8" w:rsidP="002C48A4">
                            <w:pPr>
                              <w:pStyle w:val="frontpageSubheading"/>
                              <w:rPr>
                                <w:sz w:val="20"/>
                                <w:szCs w:val="22"/>
                              </w:rPr>
                            </w:pPr>
                            <w:r w:rsidRPr="000F6E13">
                              <w:rPr>
                                <w:sz w:val="20"/>
                                <w:szCs w:val="22"/>
                              </w:rPr>
                              <w:t>Submission date</w:t>
                            </w:r>
                          </w:p>
                          <w:p w14:paraId="085A955D" w14:textId="6D85C8A6" w:rsidR="00B75EF8" w:rsidRPr="000F6E13" w:rsidRDefault="007F5966" w:rsidP="002C48A4">
                            <w:pPr>
                              <w:rPr>
                                <w:szCs w:val="22"/>
                              </w:rPr>
                            </w:pPr>
                            <w:r>
                              <w:rPr>
                                <w:szCs w:val="22"/>
                              </w:rPr>
                              <w:t xml:space="preserve"> 30</w:t>
                            </w:r>
                            <w:r w:rsidR="0060328A">
                              <w:rPr>
                                <w:szCs w:val="22"/>
                              </w:rPr>
                              <w:t xml:space="preserve"> March 2016</w:t>
                            </w:r>
                          </w:p>
                          <w:p w14:paraId="1620B3A1" w14:textId="77777777" w:rsidR="00B75EF8" w:rsidRPr="000F6E13" w:rsidRDefault="00B75EF8" w:rsidP="002C48A4">
                            <w:pPr>
                              <w:pStyle w:val="frontpageSubheading"/>
                              <w:rPr>
                                <w:color w:val="001C1C"/>
                                <w:sz w:val="20"/>
                                <w:szCs w:val="22"/>
                              </w:rPr>
                            </w:pPr>
                          </w:p>
                          <w:p w14:paraId="7F97ECB8" w14:textId="077CC60A" w:rsidR="00B75EF8" w:rsidRPr="000F6E13" w:rsidRDefault="00B75EF8" w:rsidP="002C48A4">
                            <w:pPr>
                              <w:pStyle w:val="frontpageSubheading"/>
                              <w:rPr>
                                <w:sz w:val="20"/>
                                <w:szCs w:val="22"/>
                              </w:rPr>
                            </w:pPr>
                            <w:r w:rsidRPr="000F6E13">
                              <w:rPr>
                                <w:sz w:val="20"/>
                                <w:szCs w:val="22"/>
                              </w:rPr>
                              <w:t>Work</w:t>
                            </w:r>
                            <w:r w:rsidR="00EE0363">
                              <w:rPr>
                                <w:sz w:val="20"/>
                                <w:szCs w:val="22"/>
                              </w:rPr>
                              <w:t xml:space="preserve"> </w:t>
                            </w:r>
                            <w:r w:rsidRPr="000F6E13">
                              <w:rPr>
                                <w:sz w:val="20"/>
                                <w:szCs w:val="22"/>
                              </w:rPr>
                              <w:t>Package</w:t>
                            </w:r>
                          </w:p>
                          <w:p w14:paraId="49F9D014" w14:textId="73408169" w:rsidR="00B75EF8" w:rsidRPr="000F6E13" w:rsidRDefault="00B75EF8" w:rsidP="008F4777">
                            <w:pPr>
                              <w:pStyle w:val="Vrijevorm"/>
                              <w:spacing w:line="280" w:lineRule="atLeast"/>
                              <w:rPr>
                                <w:rFonts w:ascii="Calibri" w:hAnsi="Calibri"/>
                                <w:color w:val="001C1C"/>
                                <w:sz w:val="20"/>
                                <w:szCs w:val="22"/>
                                <w:lang w:val="en-US"/>
                              </w:rPr>
                            </w:pPr>
                            <w:r>
                              <w:rPr>
                                <w:rFonts w:ascii="Calibri" w:hAnsi="Calibri"/>
                                <w:color w:val="001C1C"/>
                                <w:sz w:val="20"/>
                                <w:szCs w:val="22"/>
                                <w:lang w:val="en-US"/>
                              </w:rPr>
                              <w:t>4</w:t>
                            </w:r>
                          </w:p>
                          <w:p w14:paraId="6930DBF8" w14:textId="77777777" w:rsidR="00B75EF8" w:rsidRPr="000F6E13" w:rsidRDefault="00B75EF8" w:rsidP="002C48A4">
                            <w:pPr>
                              <w:pStyle w:val="frontpageSubheading"/>
                              <w:rPr>
                                <w:color w:val="001C1C"/>
                                <w:sz w:val="20"/>
                                <w:szCs w:val="22"/>
                              </w:rPr>
                            </w:pPr>
                          </w:p>
                          <w:p w14:paraId="12739A5B" w14:textId="77777777" w:rsidR="00B75EF8" w:rsidRPr="000F6E13" w:rsidRDefault="00B75EF8" w:rsidP="002C48A4">
                            <w:pPr>
                              <w:pStyle w:val="frontpageSubheading"/>
                              <w:rPr>
                                <w:sz w:val="20"/>
                                <w:szCs w:val="22"/>
                              </w:rPr>
                            </w:pPr>
                            <w:r w:rsidRPr="000F6E13">
                              <w:rPr>
                                <w:sz w:val="20"/>
                                <w:szCs w:val="22"/>
                              </w:rPr>
                              <w:t>Lead Beneficiary</w:t>
                            </w:r>
                          </w:p>
                          <w:p w14:paraId="399C2D8F" w14:textId="406F81D7" w:rsidR="00B75EF8" w:rsidRPr="000F6E13" w:rsidRDefault="00B75EF8" w:rsidP="008F4777">
                            <w:pPr>
                              <w:pStyle w:val="Vrijevorm"/>
                              <w:spacing w:line="280" w:lineRule="atLeast"/>
                              <w:rPr>
                                <w:rFonts w:ascii="Calibri" w:hAnsi="Calibri"/>
                                <w:color w:val="001C1C"/>
                                <w:sz w:val="20"/>
                                <w:szCs w:val="22"/>
                                <w:lang w:val="en-US"/>
                              </w:rPr>
                            </w:pPr>
                            <w:r>
                              <w:rPr>
                                <w:rFonts w:ascii="Calibri" w:hAnsi="Calibri"/>
                                <w:color w:val="001C1C"/>
                                <w:sz w:val="20"/>
                                <w:szCs w:val="22"/>
                                <w:lang w:val="en-US"/>
                              </w:rPr>
                              <w:t>LSE</w:t>
                            </w:r>
                            <w:r w:rsidR="0060328A">
                              <w:rPr>
                                <w:rFonts w:ascii="Calibri" w:hAnsi="Calibri"/>
                                <w:color w:val="001C1C"/>
                                <w:sz w:val="20"/>
                                <w:szCs w:val="22"/>
                                <w:lang w:val="en-US"/>
                              </w:rPr>
                              <w:t>, UU</w:t>
                            </w:r>
                          </w:p>
                          <w:p w14:paraId="4069102D" w14:textId="77777777" w:rsidR="00B75EF8" w:rsidRDefault="00B75EF8" w:rsidP="002C48A4">
                            <w:pPr>
                              <w:pStyle w:val="frontpageSubheading"/>
                              <w:rPr>
                                <w:rFonts w:ascii="Times New Roman" w:eastAsia="Times New Roman" w:hAnsi="Times New Roman"/>
                                <w:color w:val="auto"/>
                                <w:sz w:val="20"/>
                                <w:lang w:bidi="x-none"/>
                              </w:rPr>
                            </w:pPr>
                          </w:p>
                          <w:p w14:paraId="2B7D4290" w14:textId="77777777" w:rsidR="00B75EF8" w:rsidRDefault="00B75E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98pt;margin-top:484.05pt;width:205pt;height:274.95pt;z-index:2516695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" filled="f" stroked="f" strokeweight="1pt">
                <v:path arrowok="t"/>
                <v:textbox inset="0,0,0,0">
                  <w:txbxContent>
                    <w:p w14:paraId="4C91F8F5" w14:textId="77777777" w:rsidR="00B75EF8" w:rsidRPr="000F6E13" w:rsidRDefault="00B75EF8" w:rsidP="002C48A4">
                      <w:pPr>
                        <w:pStyle w:val="frontpageSubheading"/>
                        <w:rPr>
                          <w:sz w:val="20"/>
                          <w:szCs w:val="22"/>
                        </w:rPr>
                      </w:pPr>
                      <w:r w:rsidRPr="000F6E13">
                        <w:rPr>
                          <w:sz w:val="20"/>
                          <w:szCs w:val="22"/>
                        </w:rPr>
                        <w:t>Document Identifier</w:t>
                      </w:r>
                    </w:p>
                    <w:p w14:paraId="7F086CEB" w14:textId="2AF1BEA2" w:rsidR="00B75EF8" w:rsidRPr="000F6E13" w:rsidRDefault="00B75EF8" w:rsidP="008F4777">
                      <w:pPr>
                        <w:pStyle w:val="Vrijevorm"/>
                        <w:spacing w:line="280" w:lineRule="atLeast"/>
                        <w:rPr>
                          <w:rFonts w:asciiTheme="minorHAnsi" w:hAnsiTheme="minorHAnsi"/>
                          <w:color w:val="001C1C"/>
                          <w:sz w:val="20"/>
                          <w:szCs w:val="22"/>
                          <w:lang w:val="en-US"/>
                        </w:rPr>
                      </w:pPr>
                      <w:r>
                        <w:rPr>
                          <w:rFonts w:ascii="Calibri" w:hAnsi="Calibri"/>
                          <w:color w:val="001C1C"/>
                          <w:sz w:val="20"/>
                          <w:szCs w:val="22"/>
                          <w:lang w:val="en-US"/>
                        </w:rPr>
                        <w:t xml:space="preserve">D4.1 A review paper on the extension of the GEDI-indicator with additional indicators on financial, </w:t>
                      </w:r>
                      <w:proofErr w:type="spellStart"/>
                      <w:r>
                        <w:rPr>
                          <w:rFonts w:ascii="Calibri" w:hAnsi="Calibri"/>
                          <w:color w:val="001C1C"/>
                          <w:sz w:val="20"/>
                          <w:szCs w:val="22"/>
                          <w:lang w:val="en-US"/>
                        </w:rPr>
                        <w:t>labour</w:t>
                      </w:r>
                      <w:proofErr w:type="spellEnd"/>
                      <w:r>
                        <w:rPr>
                          <w:rFonts w:ascii="Calibri" w:hAnsi="Calibri"/>
                          <w:color w:val="001C1C"/>
                          <w:sz w:val="20"/>
                          <w:szCs w:val="22"/>
                          <w:lang w:val="en-US"/>
                        </w:rPr>
                        <w:t xml:space="preserve"> and knowledge institutions</w:t>
                      </w:r>
                    </w:p>
                    <w:p w14:paraId="429E3401" w14:textId="77777777" w:rsidR="00B75EF8" w:rsidRPr="000F6E13" w:rsidRDefault="00B75EF8" w:rsidP="002C48A4">
                      <w:pPr>
                        <w:pStyle w:val="frontpageSubheading"/>
                        <w:rPr>
                          <w:rFonts w:asciiTheme="minorHAnsi" w:hAnsiTheme="minorHAnsi"/>
                          <w:sz w:val="20"/>
                          <w:szCs w:val="22"/>
                        </w:rPr>
                      </w:pPr>
                    </w:p>
                    <w:p w14:paraId="4A3DD2F8" w14:textId="77777777" w:rsidR="00B75EF8" w:rsidRPr="000F6E13" w:rsidRDefault="00B75EF8" w:rsidP="002C48A4">
                      <w:pPr>
                        <w:pStyle w:val="frontpageSubheading"/>
                        <w:rPr>
                          <w:sz w:val="20"/>
                          <w:szCs w:val="22"/>
                        </w:rPr>
                      </w:pPr>
                      <w:r w:rsidRPr="000F6E13">
                        <w:rPr>
                          <w:sz w:val="20"/>
                          <w:szCs w:val="22"/>
                        </w:rPr>
                        <w:t>Version</w:t>
                      </w:r>
                    </w:p>
                    <w:p w14:paraId="40D34E4F" w14:textId="3D53F367" w:rsidR="00B75EF8" w:rsidRPr="000F6E13" w:rsidRDefault="00B75EF8" w:rsidP="002C48A4">
                      <w:pPr>
                        <w:rPr>
                          <w:szCs w:val="22"/>
                        </w:rPr>
                      </w:pPr>
                      <w:r w:rsidRPr="000F6E13">
                        <w:rPr>
                          <w:szCs w:val="22"/>
                        </w:rPr>
                        <w:t>1.0</w:t>
                      </w:r>
                    </w:p>
                    <w:p w14:paraId="056FFADA" w14:textId="77777777" w:rsidR="00B75EF8" w:rsidRPr="000F6E13" w:rsidRDefault="00B75EF8" w:rsidP="002C48A4">
                      <w:pPr>
                        <w:pStyle w:val="frontpageSubheading"/>
                        <w:rPr>
                          <w:sz w:val="20"/>
                          <w:szCs w:val="22"/>
                        </w:rPr>
                      </w:pPr>
                    </w:p>
                    <w:p w14:paraId="33F741FB" w14:textId="77777777" w:rsidR="00B75EF8" w:rsidRPr="000F6E13" w:rsidRDefault="00B75EF8" w:rsidP="002C48A4">
                      <w:pPr>
                        <w:pStyle w:val="frontpageSubheading"/>
                        <w:rPr>
                          <w:sz w:val="20"/>
                          <w:szCs w:val="22"/>
                        </w:rPr>
                      </w:pPr>
                      <w:r w:rsidRPr="000F6E13">
                        <w:rPr>
                          <w:sz w:val="20"/>
                          <w:szCs w:val="22"/>
                        </w:rPr>
                        <w:t>Date Due</w:t>
                      </w:r>
                    </w:p>
                    <w:p w14:paraId="2FAB0A49" w14:textId="67FCEFBB" w:rsidR="00B75EF8" w:rsidRPr="000F6E13" w:rsidRDefault="00B75EF8" w:rsidP="002C48A4">
                      <w:pPr>
                        <w:rPr>
                          <w:szCs w:val="22"/>
                        </w:rPr>
                      </w:pPr>
                      <w:r w:rsidRPr="000F6E13">
                        <w:rPr>
                          <w:szCs w:val="22"/>
                        </w:rPr>
                        <w:t>M</w:t>
                      </w:r>
                      <w:r>
                        <w:rPr>
                          <w:szCs w:val="22"/>
                        </w:rPr>
                        <w:t>9</w:t>
                      </w:r>
                    </w:p>
                    <w:p w14:paraId="4FB64CAA" w14:textId="77777777" w:rsidR="00B75EF8" w:rsidRPr="000F6E13" w:rsidRDefault="00B75EF8" w:rsidP="002C48A4">
                      <w:pPr>
                        <w:pStyle w:val="frontpageSubheading"/>
                        <w:rPr>
                          <w:color w:val="001C1C"/>
                          <w:sz w:val="20"/>
                          <w:szCs w:val="22"/>
                        </w:rPr>
                      </w:pPr>
                    </w:p>
                    <w:p w14:paraId="1FA7EDCD" w14:textId="77777777" w:rsidR="00B75EF8" w:rsidRPr="000F6E13" w:rsidRDefault="00B75EF8" w:rsidP="002C48A4">
                      <w:pPr>
                        <w:pStyle w:val="frontpageSubheading"/>
                        <w:rPr>
                          <w:sz w:val="20"/>
                          <w:szCs w:val="22"/>
                        </w:rPr>
                      </w:pPr>
                      <w:r w:rsidRPr="000F6E13">
                        <w:rPr>
                          <w:sz w:val="20"/>
                          <w:szCs w:val="22"/>
                        </w:rPr>
                        <w:t>Submission date</w:t>
                      </w:r>
                    </w:p>
                    <w:p w14:paraId="085A955D" w14:textId="6D85C8A6" w:rsidR="00B75EF8" w:rsidRPr="000F6E13" w:rsidRDefault="007F5966" w:rsidP="002C48A4">
                      <w:pPr>
                        <w:rPr>
                          <w:szCs w:val="22"/>
                        </w:rPr>
                      </w:pPr>
                      <w:r>
                        <w:rPr>
                          <w:szCs w:val="22"/>
                        </w:rPr>
                        <w:t xml:space="preserve"> 30</w:t>
                      </w:r>
                      <w:r w:rsidR="0060328A">
                        <w:rPr>
                          <w:szCs w:val="22"/>
                        </w:rPr>
                        <w:t xml:space="preserve"> March 2016</w:t>
                      </w:r>
                    </w:p>
                    <w:p w14:paraId="1620B3A1" w14:textId="77777777" w:rsidR="00B75EF8" w:rsidRPr="000F6E13" w:rsidRDefault="00B75EF8" w:rsidP="002C48A4">
                      <w:pPr>
                        <w:pStyle w:val="frontpageSubheading"/>
                        <w:rPr>
                          <w:color w:val="001C1C"/>
                          <w:sz w:val="20"/>
                          <w:szCs w:val="22"/>
                        </w:rPr>
                      </w:pPr>
                    </w:p>
                    <w:p w14:paraId="7F97ECB8" w14:textId="077CC60A" w:rsidR="00B75EF8" w:rsidRPr="000F6E13" w:rsidRDefault="00B75EF8" w:rsidP="002C48A4">
                      <w:pPr>
                        <w:pStyle w:val="frontpageSubheading"/>
                        <w:rPr>
                          <w:sz w:val="20"/>
                          <w:szCs w:val="22"/>
                        </w:rPr>
                      </w:pPr>
                      <w:r w:rsidRPr="000F6E13">
                        <w:rPr>
                          <w:sz w:val="20"/>
                          <w:szCs w:val="22"/>
                        </w:rPr>
                        <w:t>Work</w:t>
                      </w:r>
                      <w:r w:rsidR="00EE0363">
                        <w:rPr>
                          <w:sz w:val="20"/>
                          <w:szCs w:val="22"/>
                        </w:rPr>
                        <w:t xml:space="preserve"> </w:t>
                      </w:r>
                      <w:r w:rsidRPr="000F6E13">
                        <w:rPr>
                          <w:sz w:val="20"/>
                          <w:szCs w:val="22"/>
                        </w:rPr>
                        <w:t>Package</w:t>
                      </w:r>
                    </w:p>
                    <w:p w14:paraId="49F9D014" w14:textId="73408169" w:rsidR="00B75EF8" w:rsidRPr="000F6E13" w:rsidRDefault="00B75EF8" w:rsidP="008F4777">
                      <w:pPr>
                        <w:pStyle w:val="Vrijevorm"/>
                        <w:spacing w:line="280" w:lineRule="atLeast"/>
                        <w:rPr>
                          <w:rFonts w:ascii="Calibri" w:hAnsi="Calibri"/>
                          <w:color w:val="001C1C"/>
                          <w:sz w:val="20"/>
                          <w:szCs w:val="22"/>
                          <w:lang w:val="en-US"/>
                        </w:rPr>
                      </w:pPr>
                      <w:r>
                        <w:rPr>
                          <w:rFonts w:ascii="Calibri" w:hAnsi="Calibri"/>
                          <w:color w:val="001C1C"/>
                          <w:sz w:val="20"/>
                          <w:szCs w:val="22"/>
                          <w:lang w:val="en-US"/>
                        </w:rPr>
                        <w:t>4</w:t>
                      </w:r>
                    </w:p>
                    <w:p w14:paraId="6930DBF8" w14:textId="77777777" w:rsidR="00B75EF8" w:rsidRPr="000F6E13" w:rsidRDefault="00B75EF8" w:rsidP="002C48A4">
                      <w:pPr>
                        <w:pStyle w:val="frontpageSubheading"/>
                        <w:rPr>
                          <w:color w:val="001C1C"/>
                          <w:sz w:val="20"/>
                          <w:szCs w:val="22"/>
                        </w:rPr>
                      </w:pPr>
                    </w:p>
                    <w:p w14:paraId="12739A5B" w14:textId="77777777" w:rsidR="00B75EF8" w:rsidRPr="000F6E13" w:rsidRDefault="00B75EF8" w:rsidP="002C48A4">
                      <w:pPr>
                        <w:pStyle w:val="frontpageSubheading"/>
                        <w:rPr>
                          <w:sz w:val="20"/>
                          <w:szCs w:val="22"/>
                        </w:rPr>
                      </w:pPr>
                      <w:r w:rsidRPr="000F6E13">
                        <w:rPr>
                          <w:sz w:val="20"/>
                          <w:szCs w:val="22"/>
                        </w:rPr>
                        <w:t>Lead Beneficiary</w:t>
                      </w:r>
                    </w:p>
                    <w:p w14:paraId="399C2D8F" w14:textId="406F81D7" w:rsidR="00B75EF8" w:rsidRPr="000F6E13" w:rsidRDefault="00B75EF8" w:rsidP="008F4777">
                      <w:pPr>
                        <w:pStyle w:val="Vrijevorm"/>
                        <w:spacing w:line="280" w:lineRule="atLeast"/>
                        <w:rPr>
                          <w:rFonts w:ascii="Calibri" w:hAnsi="Calibri"/>
                          <w:color w:val="001C1C"/>
                          <w:sz w:val="20"/>
                          <w:szCs w:val="22"/>
                          <w:lang w:val="en-US"/>
                        </w:rPr>
                      </w:pPr>
                      <w:r>
                        <w:rPr>
                          <w:rFonts w:ascii="Calibri" w:hAnsi="Calibri"/>
                          <w:color w:val="001C1C"/>
                          <w:sz w:val="20"/>
                          <w:szCs w:val="22"/>
                          <w:lang w:val="en-US"/>
                        </w:rPr>
                        <w:t>LSE</w:t>
                      </w:r>
                      <w:r w:rsidR="0060328A">
                        <w:rPr>
                          <w:rFonts w:ascii="Calibri" w:hAnsi="Calibri"/>
                          <w:color w:val="001C1C"/>
                          <w:sz w:val="20"/>
                          <w:szCs w:val="22"/>
                          <w:lang w:val="en-US"/>
                        </w:rPr>
                        <w:t>, UU</w:t>
                      </w:r>
                    </w:p>
                    <w:p w14:paraId="4069102D" w14:textId="77777777" w:rsidR="00B75EF8" w:rsidRDefault="00B75EF8" w:rsidP="002C48A4">
                      <w:pPr>
                        <w:pStyle w:val="frontpageSubheading"/>
                        <w:rPr>
                          <w:rFonts w:ascii="Times New Roman" w:eastAsia="Times New Roman" w:hAnsi="Times New Roman"/>
                          <w:color w:val="auto"/>
                          <w:sz w:val="20"/>
                          <w:lang w:bidi="x-none"/>
                        </w:rPr>
                      </w:pPr>
                    </w:p>
                    <w:p w14:paraId="2B7D4290" w14:textId="77777777" w:rsidR="00B75EF8" w:rsidRDefault="00B75EF8"/>
                  </w:txbxContent>
                </v:textbox>
                <w10:wrap type="square" anchorx="page" anchory="page"/>
              </v:rect>
            </w:pict>
          </mc:Fallback>
        </mc:AlternateContent>
      </w:r>
      <w:bookmarkEnd w:id="6"/>
      <w:bookmarkEnd w:id="7"/>
    </w:p>
    <w:p w14:paraId="2B1A1AFF" w14:textId="6C4855F9" w:rsidR="00900DA5" w:rsidRDefault="00900DA5" w:rsidP="0060328A">
      <w:pPr>
        <w:pStyle w:val="Heading1"/>
        <w:spacing w:line="276" w:lineRule="auto"/>
        <w:jc w:val="both"/>
      </w:pPr>
    </w:p>
    <w:p w14:paraId="238A749E" w14:textId="73D2F206" w:rsidR="00900DA5" w:rsidRDefault="00900DA5" w:rsidP="0060328A">
      <w:pPr>
        <w:pStyle w:val="Heading1"/>
        <w:spacing w:line="276" w:lineRule="auto"/>
        <w:jc w:val="both"/>
      </w:pPr>
    </w:p>
    <w:p w14:paraId="11A88BEC" w14:textId="6F921888" w:rsidR="00900DA5" w:rsidRDefault="00900DA5" w:rsidP="0060328A">
      <w:pPr>
        <w:pStyle w:val="Heading1"/>
        <w:spacing w:line="276" w:lineRule="auto"/>
        <w:jc w:val="both"/>
      </w:pPr>
    </w:p>
    <w:p w14:paraId="0A0C8AE5" w14:textId="77777777" w:rsidR="00900DA5" w:rsidRDefault="00900DA5" w:rsidP="0060328A">
      <w:pPr>
        <w:pStyle w:val="Heading1"/>
        <w:spacing w:line="276" w:lineRule="auto"/>
        <w:jc w:val="both"/>
      </w:pPr>
    </w:p>
    <w:p w14:paraId="1E392279" w14:textId="77777777" w:rsidR="00900DA5" w:rsidRDefault="00900DA5" w:rsidP="0060328A">
      <w:pPr>
        <w:pStyle w:val="Heading1"/>
        <w:spacing w:line="276" w:lineRule="auto"/>
        <w:jc w:val="both"/>
      </w:pPr>
    </w:p>
    <w:p w14:paraId="10EC470A" w14:textId="77777777" w:rsidR="00900DA5" w:rsidRDefault="00900DA5" w:rsidP="0060328A">
      <w:pPr>
        <w:pStyle w:val="Heading1"/>
        <w:spacing w:line="276" w:lineRule="auto"/>
        <w:jc w:val="both"/>
      </w:pPr>
    </w:p>
    <w:p w14:paraId="2A83BA1F" w14:textId="77777777" w:rsidR="0060328A" w:rsidRDefault="0060328A" w:rsidP="0060328A">
      <w:pPr>
        <w:spacing w:line="276" w:lineRule="auto"/>
        <w:jc w:val="both"/>
        <w:rPr>
          <w:rFonts w:eastAsia="ヒラギノ角ゴ Pro W3"/>
          <w:b/>
          <w:sz w:val="22"/>
        </w:rPr>
      </w:pPr>
    </w:p>
    <w:p w14:paraId="73EE4DFF" w14:textId="77777777" w:rsidR="002C48A4" w:rsidRPr="007F5966" w:rsidRDefault="002C48A4" w:rsidP="0060328A">
      <w:pPr>
        <w:spacing w:line="276" w:lineRule="auto"/>
        <w:jc w:val="both"/>
        <w:rPr>
          <w:rFonts w:eastAsia="ヒラギノ角ゴ Pro W3"/>
          <w:b/>
          <w:sz w:val="22"/>
        </w:rPr>
      </w:pPr>
      <w:r w:rsidRPr="007F5966">
        <w:rPr>
          <w:rFonts w:eastAsia="ヒラギノ角ゴ Pro W3"/>
          <w:b/>
          <w:sz w:val="22"/>
        </w:rPr>
        <w:lastRenderedPageBreak/>
        <w:t>Change log</w:t>
      </w:r>
    </w:p>
    <w:p w14:paraId="35749F6D" w14:textId="77777777" w:rsidR="007E252B" w:rsidRPr="007F5966" w:rsidRDefault="007E252B" w:rsidP="0060328A">
      <w:pPr>
        <w:spacing w:line="276" w:lineRule="auto"/>
        <w:jc w:val="both"/>
        <w:rPr>
          <w:rFonts w:eastAsia="ヒラギノ角ゴ Pro W3"/>
          <w:b/>
        </w:rPr>
      </w:pPr>
    </w:p>
    <w:tbl>
      <w:tblPr>
        <w:tblStyle w:val="TableGrid"/>
        <w:tblW w:w="9781"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34"/>
        <w:gridCol w:w="1701"/>
        <w:gridCol w:w="2092"/>
        <w:gridCol w:w="4854"/>
      </w:tblGrid>
      <w:tr w:rsidR="007E252B" w:rsidRPr="007F5966" w14:paraId="3EBE1ECE" w14:textId="77777777" w:rsidTr="007F5966">
        <w:trPr>
          <w:trHeight w:val="567"/>
        </w:trPr>
        <w:tc>
          <w:tcPr>
            <w:tcW w:w="1134" w:type="dxa"/>
            <w:shd w:val="clear" w:color="auto" w:fill="F49400"/>
            <w:vAlign w:val="center"/>
          </w:tcPr>
          <w:p w14:paraId="4B32F8A9" w14:textId="7DE8557E" w:rsidR="007E252B" w:rsidRPr="007F5966" w:rsidRDefault="007E252B" w:rsidP="0060328A">
            <w:pPr>
              <w:spacing w:line="276" w:lineRule="auto"/>
              <w:jc w:val="both"/>
              <w:rPr>
                <w:color w:val="FFFFFF" w:themeColor="background1"/>
                <w:sz w:val="22"/>
                <w:szCs w:val="22"/>
              </w:rPr>
            </w:pPr>
            <w:r w:rsidRPr="007F5966">
              <w:rPr>
                <w:rFonts w:eastAsia="ヒラギノ角ゴ Pro W3"/>
                <w:b/>
                <w:color w:val="FFFFFF" w:themeColor="background1"/>
                <w:sz w:val="22"/>
                <w:szCs w:val="22"/>
              </w:rPr>
              <w:t>Version</w:t>
            </w:r>
          </w:p>
        </w:tc>
        <w:tc>
          <w:tcPr>
            <w:tcW w:w="1701" w:type="dxa"/>
            <w:shd w:val="clear" w:color="auto" w:fill="F49400"/>
            <w:vAlign w:val="center"/>
          </w:tcPr>
          <w:p w14:paraId="7D7A3CD7" w14:textId="77777777" w:rsidR="007E252B" w:rsidRPr="007F5966" w:rsidRDefault="007E252B" w:rsidP="0060328A">
            <w:pPr>
              <w:spacing w:line="276" w:lineRule="auto"/>
              <w:jc w:val="both"/>
              <w:rPr>
                <w:color w:val="FFFFFF" w:themeColor="background1"/>
                <w:sz w:val="22"/>
                <w:szCs w:val="22"/>
              </w:rPr>
            </w:pPr>
            <w:r w:rsidRPr="007F5966">
              <w:rPr>
                <w:rFonts w:eastAsia="ヒラギノ角ゴ Pro W3"/>
                <w:b/>
                <w:color w:val="FFFFFF" w:themeColor="background1"/>
                <w:sz w:val="22"/>
                <w:szCs w:val="22"/>
              </w:rPr>
              <w:t>Date</w:t>
            </w:r>
          </w:p>
        </w:tc>
        <w:tc>
          <w:tcPr>
            <w:tcW w:w="2092" w:type="dxa"/>
            <w:shd w:val="clear" w:color="auto" w:fill="F49400"/>
            <w:vAlign w:val="center"/>
          </w:tcPr>
          <w:p w14:paraId="557CEEF4" w14:textId="77777777" w:rsidR="007E252B" w:rsidRPr="007F5966" w:rsidRDefault="007E252B" w:rsidP="0060328A">
            <w:pPr>
              <w:spacing w:line="276" w:lineRule="auto"/>
              <w:jc w:val="both"/>
              <w:rPr>
                <w:color w:val="FFFFFF" w:themeColor="background1"/>
                <w:sz w:val="22"/>
                <w:szCs w:val="22"/>
              </w:rPr>
            </w:pPr>
            <w:r w:rsidRPr="007F5966">
              <w:rPr>
                <w:rFonts w:eastAsia="ヒラギノ角ゴ Pro W3"/>
                <w:b/>
                <w:color w:val="FFFFFF" w:themeColor="background1"/>
                <w:sz w:val="22"/>
                <w:szCs w:val="22"/>
              </w:rPr>
              <w:t>Amended by</w:t>
            </w:r>
          </w:p>
        </w:tc>
        <w:tc>
          <w:tcPr>
            <w:tcW w:w="4854" w:type="dxa"/>
            <w:shd w:val="clear" w:color="auto" w:fill="F49400"/>
            <w:vAlign w:val="center"/>
          </w:tcPr>
          <w:p w14:paraId="34E7E161" w14:textId="77777777" w:rsidR="007E252B" w:rsidRPr="007F5966" w:rsidRDefault="007E252B" w:rsidP="0060328A">
            <w:pPr>
              <w:spacing w:line="276" w:lineRule="auto"/>
              <w:jc w:val="both"/>
              <w:rPr>
                <w:color w:val="FFFFFF" w:themeColor="background1"/>
                <w:sz w:val="22"/>
                <w:szCs w:val="22"/>
              </w:rPr>
            </w:pPr>
            <w:r w:rsidRPr="007F5966">
              <w:rPr>
                <w:rFonts w:eastAsia="ヒラギノ角ゴ Pro W3"/>
                <w:b/>
                <w:color w:val="FFFFFF" w:themeColor="background1"/>
                <w:sz w:val="22"/>
                <w:szCs w:val="22"/>
              </w:rPr>
              <w:t>Changes</w:t>
            </w:r>
          </w:p>
        </w:tc>
      </w:tr>
      <w:tr w:rsidR="008F4777" w:rsidRPr="007F5966" w14:paraId="49A025F6" w14:textId="77777777" w:rsidTr="00EE0363">
        <w:trPr>
          <w:trHeight w:val="567"/>
        </w:trPr>
        <w:tc>
          <w:tcPr>
            <w:tcW w:w="1134" w:type="dxa"/>
            <w:shd w:val="clear" w:color="auto" w:fill="auto"/>
            <w:vAlign w:val="center"/>
          </w:tcPr>
          <w:p w14:paraId="22BE1177" w14:textId="31B6840C" w:rsidR="008F4777" w:rsidRPr="007F5966" w:rsidRDefault="008F4777" w:rsidP="0060328A">
            <w:pPr>
              <w:spacing w:line="276" w:lineRule="auto"/>
              <w:jc w:val="both"/>
              <w:rPr>
                <w:b/>
                <w:sz w:val="22"/>
                <w:szCs w:val="22"/>
              </w:rPr>
            </w:pPr>
            <w:r w:rsidRPr="007F5966">
              <w:rPr>
                <w:rFonts w:eastAsia="ヒラギノ角ゴ Pro W3"/>
                <w:b/>
                <w:sz w:val="22"/>
                <w:szCs w:val="22"/>
              </w:rPr>
              <w:t>0</w:t>
            </w:r>
            <w:r w:rsidR="00686035" w:rsidRPr="007F5966">
              <w:rPr>
                <w:rFonts w:eastAsia="ヒラギノ角ゴ Pro W3"/>
                <w:b/>
                <w:sz w:val="22"/>
                <w:szCs w:val="22"/>
              </w:rPr>
              <w:t>.1</w:t>
            </w:r>
          </w:p>
        </w:tc>
        <w:tc>
          <w:tcPr>
            <w:tcW w:w="1701" w:type="dxa"/>
            <w:shd w:val="clear" w:color="auto" w:fill="auto"/>
            <w:vAlign w:val="center"/>
          </w:tcPr>
          <w:p w14:paraId="70B0CF8E" w14:textId="668D8EF5" w:rsidR="008F4777" w:rsidRPr="007F5966" w:rsidRDefault="00925002" w:rsidP="00EE0363">
            <w:pPr>
              <w:spacing w:line="276" w:lineRule="auto"/>
              <w:rPr>
                <w:sz w:val="22"/>
                <w:szCs w:val="22"/>
              </w:rPr>
            </w:pPr>
            <w:r w:rsidRPr="007F5966">
              <w:rPr>
                <w:sz w:val="22"/>
                <w:szCs w:val="22"/>
              </w:rPr>
              <w:t>08/02/2016</w:t>
            </w:r>
          </w:p>
        </w:tc>
        <w:tc>
          <w:tcPr>
            <w:tcW w:w="2092" w:type="dxa"/>
            <w:shd w:val="clear" w:color="auto" w:fill="auto"/>
          </w:tcPr>
          <w:p w14:paraId="4A1765CF" w14:textId="7D3AE826" w:rsidR="008F4777" w:rsidRPr="007F5966" w:rsidRDefault="003B1994" w:rsidP="00834516">
            <w:pPr>
              <w:spacing w:line="276" w:lineRule="auto"/>
              <w:rPr>
                <w:sz w:val="22"/>
                <w:szCs w:val="22"/>
              </w:rPr>
            </w:pPr>
            <w:r w:rsidRPr="007F5966">
              <w:rPr>
                <w:sz w:val="22"/>
                <w:szCs w:val="22"/>
              </w:rPr>
              <w:t>Mark Sanders</w:t>
            </w:r>
          </w:p>
        </w:tc>
        <w:tc>
          <w:tcPr>
            <w:tcW w:w="4854" w:type="dxa"/>
            <w:shd w:val="clear" w:color="auto" w:fill="auto"/>
            <w:vAlign w:val="center"/>
          </w:tcPr>
          <w:p w14:paraId="7EA98D56" w14:textId="76CADB9E" w:rsidR="008F4777" w:rsidRPr="007F5966" w:rsidRDefault="00BE56DF" w:rsidP="00614DCA">
            <w:pPr>
              <w:spacing w:line="276" w:lineRule="auto"/>
              <w:jc w:val="both"/>
              <w:rPr>
                <w:sz w:val="22"/>
                <w:szCs w:val="22"/>
              </w:rPr>
            </w:pPr>
            <w:r w:rsidRPr="007F5966">
              <w:rPr>
                <w:sz w:val="22"/>
                <w:szCs w:val="22"/>
              </w:rPr>
              <w:t>1</w:t>
            </w:r>
            <w:r w:rsidRPr="007F5966">
              <w:rPr>
                <w:sz w:val="22"/>
                <w:szCs w:val="22"/>
                <w:vertAlign w:val="superscript"/>
              </w:rPr>
              <w:t>st</w:t>
            </w:r>
            <w:r w:rsidRPr="007F5966">
              <w:rPr>
                <w:sz w:val="22"/>
                <w:szCs w:val="22"/>
              </w:rPr>
              <w:t xml:space="preserve"> review</w:t>
            </w:r>
            <w:r w:rsidR="00614DCA">
              <w:rPr>
                <w:sz w:val="22"/>
                <w:szCs w:val="22"/>
              </w:rPr>
              <w:t>,</w:t>
            </w:r>
            <w:r w:rsidRPr="007F5966">
              <w:rPr>
                <w:sz w:val="22"/>
                <w:szCs w:val="22"/>
              </w:rPr>
              <w:t xml:space="preserve"> internal review procedure </w:t>
            </w:r>
          </w:p>
        </w:tc>
      </w:tr>
      <w:tr w:rsidR="007E252B" w:rsidRPr="007F5966" w14:paraId="5AF2EDE6" w14:textId="77777777" w:rsidTr="00EE0363">
        <w:trPr>
          <w:trHeight w:val="567"/>
        </w:trPr>
        <w:tc>
          <w:tcPr>
            <w:tcW w:w="1134" w:type="dxa"/>
            <w:shd w:val="clear" w:color="auto" w:fill="auto"/>
            <w:vAlign w:val="center"/>
          </w:tcPr>
          <w:p w14:paraId="1FDD22D0" w14:textId="2216DDDC" w:rsidR="007E252B" w:rsidRPr="007F5966" w:rsidRDefault="00686035" w:rsidP="0060328A">
            <w:pPr>
              <w:spacing w:line="276" w:lineRule="auto"/>
              <w:jc w:val="both"/>
              <w:rPr>
                <w:sz w:val="22"/>
                <w:szCs w:val="22"/>
              </w:rPr>
            </w:pPr>
            <w:r w:rsidRPr="007F5966">
              <w:rPr>
                <w:rFonts w:eastAsia="ヒラギノ角ゴ Pro W3"/>
                <w:b/>
                <w:sz w:val="22"/>
                <w:szCs w:val="22"/>
              </w:rPr>
              <w:t>0</w:t>
            </w:r>
            <w:r w:rsidR="007E252B" w:rsidRPr="007F5966">
              <w:rPr>
                <w:rFonts w:eastAsia="ヒラギノ角ゴ Pro W3"/>
                <w:b/>
                <w:sz w:val="22"/>
                <w:szCs w:val="22"/>
              </w:rPr>
              <w:t>.</w:t>
            </w:r>
            <w:r w:rsidRPr="007F5966">
              <w:rPr>
                <w:rFonts w:eastAsia="ヒラギノ角ゴ Pro W3"/>
                <w:b/>
                <w:sz w:val="22"/>
                <w:szCs w:val="22"/>
              </w:rPr>
              <w:t>2</w:t>
            </w:r>
          </w:p>
        </w:tc>
        <w:tc>
          <w:tcPr>
            <w:tcW w:w="1701" w:type="dxa"/>
            <w:shd w:val="clear" w:color="auto" w:fill="auto"/>
            <w:vAlign w:val="center"/>
          </w:tcPr>
          <w:p w14:paraId="018D543E" w14:textId="607B6607" w:rsidR="007E252B" w:rsidRPr="007F5966" w:rsidRDefault="00294BA1" w:rsidP="00EE0363">
            <w:pPr>
              <w:spacing w:line="276" w:lineRule="auto"/>
              <w:rPr>
                <w:sz w:val="22"/>
                <w:szCs w:val="22"/>
              </w:rPr>
            </w:pPr>
            <w:r w:rsidRPr="007F5966">
              <w:rPr>
                <w:sz w:val="22"/>
                <w:szCs w:val="22"/>
              </w:rPr>
              <w:t>24/02/2016</w:t>
            </w:r>
          </w:p>
        </w:tc>
        <w:tc>
          <w:tcPr>
            <w:tcW w:w="2092" w:type="dxa"/>
            <w:shd w:val="clear" w:color="auto" w:fill="auto"/>
            <w:vAlign w:val="center"/>
          </w:tcPr>
          <w:p w14:paraId="25E5775C" w14:textId="4E37ED1D" w:rsidR="007E252B" w:rsidRPr="007F5966" w:rsidRDefault="003B1994" w:rsidP="00834516">
            <w:pPr>
              <w:spacing w:line="276" w:lineRule="auto"/>
              <w:rPr>
                <w:sz w:val="22"/>
                <w:szCs w:val="22"/>
              </w:rPr>
            </w:pPr>
            <w:r w:rsidRPr="007F5966">
              <w:rPr>
                <w:sz w:val="22"/>
                <w:szCs w:val="22"/>
              </w:rPr>
              <w:t xml:space="preserve">Zoltan Acs, </w:t>
            </w:r>
            <w:proofErr w:type="spellStart"/>
            <w:r w:rsidR="00834516">
              <w:rPr>
                <w:sz w:val="22"/>
                <w:szCs w:val="22"/>
              </w:rPr>
              <w:t>László</w:t>
            </w:r>
            <w:proofErr w:type="spellEnd"/>
            <w:r w:rsidR="00834516" w:rsidRPr="007F5966">
              <w:rPr>
                <w:sz w:val="22"/>
                <w:szCs w:val="22"/>
              </w:rPr>
              <w:t xml:space="preserve"> </w:t>
            </w:r>
            <w:proofErr w:type="spellStart"/>
            <w:r w:rsidRPr="007F5966">
              <w:rPr>
                <w:sz w:val="22"/>
                <w:szCs w:val="22"/>
              </w:rPr>
              <w:t>Szerb</w:t>
            </w:r>
            <w:proofErr w:type="spellEnd"/>
          </w:p>
        </w:tc>
        <w:tc>
          <w:tcPr>
            <w:tcW w:w="4854" w:type="dxa"/>
            <w:shd w:val="clear" w:color="auto" w:fill="auto"/>
            <w:vAlign w:val="center"/>
          </w:tcPr>
          <w:p w14:paraId="6F20DE09" w14:textId="3EAE2836" w:rsidR="007E252B" w:rsidRPr="007F5966" w:rsidRDefault="00BE56DF" w:rsidP="0060328A">
            <w:pPr>
              <w:spacing w:line="276" w:lineRule="auto"/>
              <w:jc w:val="both"/>
              <w:rPr>
                <w:sz w:val="22"/>
                <w:szCs w:val="22"/>
              </w:rPr>
            </w:pPr>
            <w:r w:rsidRPr="007F5966">
              <w:rPr>
                <w:sz w:val="22"/>
                <w:szCs w:val="22"/>
              </w:rPr>
              <w:t>Review incorporated</w:t>
            </w:r>
          </w:p>
        </w:tc>
      </w:tr>
      <w:tr w:rsidR="003B1994" w:rsidRPr="007F5966" w14:paraId="1F248B2F" w14:textId="77777777" w:rsidTr="00EE0363">
        <w:trPr>
          <w:trHeight w:val="567"/>
        </w:trPr>
        <w:tc>
          <w:tcPr>
            <w:tcW w:w="1134" w:type="dxa"/>
            <w:shd w:val="clear" w:color="auto" w:fill="auto"/>
            <w:vAlign w:val="center"/>
          </w:tcPr>
          <w:p w14:paraId="677AC6A6" w14:textId="624A1451" w:rsidR="003B1994" w:rsidRPr="007F5966" w:rsidRDefault="00686035" w:rsidP="0060328A">
            <w:pPr>
              <w:spacing w:line="276" w:lineRule="auto"/>
              <w:jc w:val="both"/>
              <w:rPr>
                <w:rFonts w:eastAsia="ヒラギノ角ゴ Pro W3"/>
                <w:b/>
                <w:sz w:val="22"/>
                <w:szCs w:val="22"/>
              </w:rPr>
            </w:pPr>
            <w:r w:rsidRPr="007F5966">
              <w:rPr>
                <w:rFonts w:eastAsia="ヒラギノ角ゴ Pro W3"/>
                <w:b/>
                <w:sz w:val="22"/>
                <w:szCs w:val="22"/>
              </w:rPr>
              <w:t>0.3</w:t>
            </w:r>
          </w:p>
        </w:tc>
        <w:tc>
          <w:tcPr>
            <w:tcW w:w="1701" w:type="dxa"/>
            <w:shd w:val="clear" w:color="auto" w:fill="auto"/>
            <w:vAlign w:val="center"/>
          </w:tcPr>
          <w:p w14:paraId="6C23BF5E" w14:textId="46535EE6" w:rsidR="003B1994" w:rsidRPr="007F5966" w:rsidRDefault="00294BA1" w:rsidP="00EE0363">
            <w:pPr>
              <w:spacing w:line="276" w:lineRule="auto"/>
              <w:rPr>
                <w:sz w:val="22"/>
                <w:szCs w:val="22"/>
              </w:rPr>
            </w:pPr>
            <w:r w:rsidRPr="007F5966">
              <w:rPr>
                <w:sz w:val="22"/>
                <w:szCs w:val="22"/>
              </w:rPr>
              <w:t>20/03/2016</w:t>
            </w:r>
          </w:p>
        </w:tc>
        <w:tc>
          <w:tcPr>
            <w:tcW w:w="2092" w:type="dxa"/>
            <w:shd w:val="clear" w:color="auto" w:fill="auto"/>
            <w:vAlign w:val="center"/>
          </w:tcPr>
          <w:p w14:paraId="32717D06" w14:textId="03D4D042" w:rsidR="003B1994" w:rsidRPr="007F5966" w:rsidRDefault="003B1994" w:rsidP="00834516">
            <w:pPr>
              <w:spacing w:line="276" w:lineRule="auto"/>
              <w:rPr>
                <w:sz w:val="22"/>
                <w:szCs w:val="22"/>
              </w:rPr>
            </w:pPr>
            <w:r w:rsidRPr="007F5966">
              <w:rPr>
                <w:sz w:val="22"/>
                <w:szCs w:val="22"/>
              </w:rPr>
              <w:t>Erik Stam</w:t>
            </w:r>
          </w:p>
        </w:tc>
        <w:tc>
          <w:tcPr>
            <w:tcW w:w="4854" w:type="dxa"/>
            <w:shd w:val="clear" w:color="auto" w:fill="auto"/>
            <w:vAlign w:val="center"/>
          </w:tcPr>
          <w:p w14:paraId="46D61D08" w14:textId="54C98C55" w:rsidR="003B1994" w:rsidRPr="007F5966" w:rsidRDefault="00BE56DF" w:rsidP="00614DCA">
            <w:pPr>
              <w:spacing w:line="276" w:lineRule="auto"/>
              <w:jc w:val="both"/>
              <w:rPr>
                <w:sz w:val="22"/>
                <w:szCs w:val="22"/>
              </w:rPr>
            </w:pPr>
            <w:r w:rsidRPr="007F5966">
              <w:rPr>
                <w:sz w:val="22"/>
                <w:szCs w:val="22"/>
              </w:rPr>
              <w:t>2</w:t>
            </w:r>
            <w:r w:rsidRPr="0060328A">
              <w:rPr>
                <w:sz w:val="22"/>
                <w:szCs w:val="22"/>
                <w:vertAlign w:val="superscript"/>
              </w:rPr>
              <w:t>nd</w:t>
            </w:r>
            <w:r w:rsidR="0060328A">
              <w:rPr>
                <w:sz w:val="22"/>
                <w:szCs w:val="22"/>
              </w:rPr>
              <w:t xml:space="preserve"> </w:t>
            </w:r>
            <w:r w:rsidRPr="007F5966">
              <w:rPr>
                <w:sz w:val="22"/>
                <w:szCs w:val="22"/>
              </w:rPr>
              <w:t>review</w:t>
            </w:r>
            <w:r w:rsidR="00614DCA">
              <w:rPr>
                <w:sz w:val="22"/>
                <w:szCs w:val="22"/>
              </w:rPr>
              <w:t>,</w:t>
            </w:r>
            <w:r w:rsidRPr="007F5966">
              <w:rPr>
                <w:sz w:val="22"/>
                <w:szCs w:val="22"/>
              </w:rPr>
              <w:t xml:space="preserve"> internal review procedure</w:t>
            </w:r>
          </w:p>
        </w:tc>
      </w:tr>
      <w:tr w:rsidR="003B1994" w:rsidRPr="007F5966" w14:paraId="004AAB3A" w14:textId="77777777" w:rsidTr="00EE0363">
        <w:trPr>
          <w:trHeight w:val="567"/>
        </w:trPr>
        <w:tc>
          <w:tcPr>
            <w:tcW w:w="1134" w:type="dxa"/>
            <w:shd w:val="clear" w:color="auto" w:fill="auto"/>
            <w:vAlign w:val="center"/>
          </w:tcPr>
          <w:p w14:paraId="510428EA" w14:textId="43FB7D01" w:rsidR="003B1994" w:rsidRPr="007F5966" w:rsidRDefault="00686035" w:rsidP="0060328A">
            <w:pPr>
              <w:spacing w:line="276" w:lineRule="auto"/>
              <w:jc w:val="both"/>
              <w:rPr>
                <w:rFonts w:eastAsia="ヒラギノ角ゴ Pro W3"/>
                <w:b/>
                <w:sz w:val="22"/>
                <w:szCs w:val="22"/>
              </w:rPr>
            </w:pPr>
            <w:r w:rsidRPr="007F5966">
              <w:rPr>
                <w:rFonts w:eastAsia="ヒラギノ角ゴ Pro W3"/>
                <w:b/>
                <w:sz w:val="22"/>
                <w:szCs w:val="22"/>
              </w:rPr>
              <w:t>1.0</w:t>
            </w:r>
          </w:p>
        </w:tc>
        <w:tc>
          <w:tcPr>
            <w:tcW w:w="1701" w:type="dxa"/>
            <w:shd w:val="clear" w:color="auto" w:fill="auto"/>
            <w:vAlign w:val="center"/>
          </w:tcPr>
          <w:p w14:paraId="27A2880E" w14:textId="668F1679" w:rsidR="003B1994" w:rsidRPr="007F5966" w:rsidRDefault="00294BA1" w:rsidP="00EE0363">
            <w:pPr>
              <w:spacing w:line="276" w:lineRule="auto"/>
              <w:rPr>
                <w:sz w:val="22"/>
                <w:szCs w:val="22"/>
              </w:rPr>
            </w:pPr>
            <w:r w:rsidRPr="007F5966">
              <w:rPr>
                <w:sz w:val="22"/>
                <w:szCs w:val="22"/>
              </w:rPr>
              <w:t>29/03/2016</w:t>
            </w:r>
          </w:p>
        </w:tc>
        <w:tc>
          <w:tcPr>
            <w:tcW w:w="2092" w:type="dxa"/>
            <w:shd w:val="clear" w:color="auto" w:fill="auto"/>
            <w:vAlign w:val="center"/>
          </w:tcPr>
          <w:p w14:paraId="214A3BE8" w14:textId="6F1CFE64" w:rsidR="003B1994" w:rsidRPr="007F5966" w:rsidRDefault="00BE56DF" w:rsidP="00834516">
            <w:pPr>
              <w:spacing w:line="276" w:lineRule="auto"/>
              <w:rPr>
                <w:sz w:val="22"/>
                <w:szCs w:val="22"/>
              </w:rPr>
            </w:pPr>
            <w:r w:rsidRPr="007F5966">
              <w:rPr>
                <w:sz w:val="22"/>
                <w:szCs w:val="22"/>
              </w:rPr>
              <w:t>Z</w:t>
            </w:r>
            <w:r w:rsidR="00834516">
              <w:rPr>
                <w:sz w:val="22"/>
                <w:szCs w:val="22"/>
              </w:rPr>
              <w:t>oltan</w:t>
            </w:r>
            <w:r w:rsidRPr="007F5966">
              <w:rPr>
                <w:sz w:val="22"/>
                <w:szCs w:val="22"/>
              </w:rPr>
              <w:t xml:space="preserve"> Acs, </w:t>
            </w:r>
            <w:proofErr w:type="spellStart"/>
            <w:r w:rsidR="00834516">
              <w:rPr>
                <w:sz w:val="22"/>
                <w:szCs w:val="22"/>
              </w:rPr>
              <w:t>László</w:t>
            </w:r>
            <w:proofErr w:type="spellEnd"/>
            <w:r w:rsidRPr="007F5966">
              <w:rPr>
                <w:sz w:val="22"/>
                <w:szCs w:val="22"/>
              </w:rPr>
              <w:t xml:space="preserve"> </w:t>
            </w:r>
            <w:proofErr w:type="spellStart"/>
            <w:r w:rsidRPr="007F5966">
              <w:rPr>
                <w:sz w:val="22"/>
                <w:szCs w:val="22"/>
              </w:rPr>
              <w:t>Szerb</w:t>
            </w:r>
            <w:proofErr w:type="spellEnd"/>
          </w:p>
        </w:tc>
        <w:tc>
          <w:tcPr>
            <w:tcW w:w="4854" w:type="dxa"/>
            <w:shd w:val="clear" w:color="auto" w:fill="auto"/>
            <w:vAlign w:val="center"/>
          </w:tcPr>
          <w:p w14:paraId="37E8FD50" w14:textId="0CA19A6D" w:rsidR="003B1994" w:rsidRPr="007F5966" w:rsidRDefault="003B1994" w:rsidP="0060328A">
            <w:pPr>
              <w:spacing w:line="276" w:lineRule="auto"/>
              <w:jc w:val="both"/>
              <w:rPr>
                <w:sz w:val="22"/>
                <w:szCs w:val="22"/>
              </w:rPr>
            </w:pPr>
            <w:r w:rsidRPr="007F5966">
              <w:rPr>
                <w:sz w:val="22"/>
                <w:szCs w:val="22"/>
              </w:rPr>
              <w:t>Final version for submission</w:t>
            </w:r>
          </w:p>
        </w:tc>
      </w:tr>
    </w:tbl>
    <w:p w14:paraId="349D8512" w14:textId="77777777" w:rsidR="007E252B" w:rsidRPr="007F5966" w:rsidRDefault="007E252B" w:rsidP="0060328A">
      <w:pPr>
        <w:spacing w:line="276" w:lineRule="auto"/>
        <w:jc w:val="both"/>
        <w:rPr>
          <w:rFonts w:eastAsia="ヒラギノ角ゴ Pro W3"/>
          <w:b/>
          <w:sz w:val="22"/>
          <w:szCs w:val="22"/>
        </w:rPr>
      </w:pPr>
    </w:p>
    <w:p w14:paraId="5614F176" w14:textId="77777777" w:rsidR="007E252B" w:rsidRPr="007F5966" w:rsidRDefault="007E252B" w:rsidP="0060328A">
      <w:pPr>
        <w:spacing w:line="276" w:lineRule="auto"/>
        <w:jc w:val="both"/>
        <w:rPr>
          <w:rFonts w:eastAsia="ヒラギノ角ゴ Pro W3"/>
          <w:b/>
          <w:sz w:val="22"/>
          <w:szCs w:val="22"/>
        </w:rPr>
      </w:pPr>
    </w:p>
    <w:p w14:paraId="609793C3" w14:textId="77777777" w:rsidR="00A00C46" w:rsidRPr="007F5966" w:rsidRDefault="00A00C46" w:rsidP="0060328A">
      <w:pPr>
        <w:spacing w:line="276" w:lineRule="auto"/>
        <w:jc w:val="both"/>
        <w:rPr>
          <w:rFonts w:eastAsia="ヒラギノ角ゴ Pro W3"/>
          <w:b/>
          <w:sz w:val="22"/>
          <w:szCs w:val="22"/>
        </w:rPr>
      </w:pPr>
      <w:r w:rsidRPr="007F5966">
        <w:rPr>
          <w:rFonts w:eastAsia="ヒラギノ角ゴ Pro W3"/>
          <w:b/>
          <w:sz w:val="22"/>
          <w:szCs w:val="22"/>
        </w:rPr>
        <w:t>Partners involved</w:t>
      </w:r>
    </w:p>
    <w:p w14:paraId="320C77CF" w14:textId="77777777" w:rsidR="00A00C46" w:rsidRPr="007F5966" w:rsidRDefault="00A00C46" w:rsidP="0060328A">
      <w:pPr>
        <w:spacing w:line="276" w:lineRule="auto"/>
        <w:jc w:val="both"/>
        <w:rPr>
          <w:rFonts w:eastAsia="ヒラギノ角ゴ Pro W3"/>
          <w:b/>
          <w:sz w:val="22"/>
          <w:szCs w:val="22"/>
        </w:rPr>
      </w:pPr>
    </w:p>
    <w:tbl>
      <w:tblPr>
        <w:tblStyle w:val="TableGrid"/>
        <w:tblW w:w="9781"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34"/>
        <w:gridCol w:w="3828"/>
        <w:gridCol w:w="4819"/>
      </w:tblGrid>
      <w:tr w:rsidR="00A00C46" w:rsidRPr="007F5966" w14:paraId="38839F87" w14:textId="77777777" w:rsidTr="007F5966">
        <w:trPr>
          <w:trHeight w:val="567"/>
        </w:trPr>
        <w:tc>
          <w:tcPr>
            <w:tcW w:w="1134" w:type="dxa"/>
            <w:shd w:val="clear" w:color="auto" w:fill="F49400"/>
            <w:vAlign w:val="center"/>
          </w:tcPr>
          <w:p w14:paraId="235CFD1E" w14:textId="77777777" w:rsidR="00A00C46" w:rsidRPr="007F5966" w:rsidRDefault="00A00C46" w:rsidP="0060328A">
            <w:pPr>
              <w:spacing w:line="276" w:lineRule="auto"/>
              <w:jc w:val="both"/>
              <w:rPr>
                <w:color w:val="FFFFFF" w:themeColor="background1"/>
                <w:sz w:val="22"/>
                <w:szCs w:val="22"/>
              </w:rPr>
            </w:pPr>
            <w:r w:rsidRPr="007F5966">
              <w:rPr>
                <w:rFonts w:eastAsia="ヒラギノ角ゴ Pro W3"/>
                <w:b/>
                <w:color w:val="FFFFFF" w:themeColor="background1"/>
                <w:sz w:val="22"/>
                <w:szCs w:val="22"/>
              </w:rPr>
              <w:t>Number</w:t>
            </w:r>
          </w:p>
        </w:tc>
        <w:tc>
          <w:tcPr>
            <w:tcW w:w="3828" w:type="dxa"/>
            <w:shd w:val="clear" w:color="auto" w:fill="F49400"/>
            <w:vAlign w:val="center"/>
          </w:tcPr>
          <w:p w14:paraId="4167353A" w14:textId="77777777" w:rsidR="00A00C46" w:rsidRPr="007F5966" w:rsidRDefault="00A00C46" w:rsidP="0060328A">
            <w:pPr>
              <w:spacing w:line="276" w:lineRule="auto"/>
              <w:jc w:val="both"/>
              <w:rPr>
                <w:color w:val="FFFFFF" w:themeColor="background1"/>
                <w:sz w:val="22"/>
                <w:szCs w:val="22"/>
              </w:rPr>
            </w:pPr>
            <w:r w:rsidRPr="007F5966">
              <w:rPr>
                <w:rFonts w:eastAsia="ヒラギノ角ゴ Pro W3"/>
                <w:b/>
                <w:color w:val="FFFFFF" w:themeColor="background1"/>
                <w:sz w:val="22"/>
                <w:szCs w:val="22"/>
              </w:rPr>
              <w:t>Partner name</w:t>
            </w:r>
          </w:p>
        </w:tc>
        <w:tc>
          <w:tcPr>
            <w:tcW w:w="4819" w:type="dxa"/>
            <w:shd w:val="clear" w:color="auto" w:fill="F49400"/>
            <w:vAlign w:val="center"/>
          </w:tcPr>
          <w:p w14:paraId="2F71B6EE" w14:textId="77777777" w:rsidR="00A00C46" w:rsidRPr="007F5966" w:rsidRDefault="00A00C46" w:rsidP="0060328A">
            <w:pPr>
              <w:spacing w:line="276" w:lineRule="auto"/>
              <w:jc w:val="both"/>
              <w:rPr>
                <w:color w:val="FFFFFF" w:themeColor="background1"/>
                <w:sz w:val="22"/>
                <w:szCs w:val="22"/>
              </w:rPr>
            </w:pPr>
            <w:r w:rsidRPr="007F5966">
              <w:rPr>
                <w:rFonts w:eastAsia="ヒラギノ角ゴ Pro W3"/>
                <w:b/>
                <w:color w:val="FFFFFF" w:themeColor="background1"/>
                <w:sz w:val="22"/>
                <w:szCs w:val="22"/>
              </w:rPr>
              <w:t>People involved</w:t>
            </w:r>
          </w:p>
        </w:tc>
      </w:tr>
      <w:tr w:rsidR="00A00C46" w:rsidRPr="007F5966" w14:paraId="6CF9A9E8" w14:textId="77777777" w:rsidTr="007F5966">
        <w:trPr>
          <w:trHeight w:val="567"/>
        </w:trPr>
        <w:tc>
          <w:tcPr>
            <w:tcW w:w="1134" w:type="dxa"/>
            <w:vAlign w:val="center"/>
          </w:tcPr>
          <w:p w14:paraId="2C8BDA6E" w14:textId="6F4CE1FF" w:rsidR="00A00C46" w:rsidRPr="007F5966" w:rsidRDefault="007F5966" w:rsidP="0060328A">
            <w:pPr>
              <w:spacing w:line="276" w:lineRule="auto"/>
              <w:jc w:val="both"/>
              <w:rPr>
                <w:sz w:val="22"/>
                <w:szCs w:val="22"/>
              </w:rPr>
            </w:pPr>
            <w:r w:rsidRPr="007F5966">
              <w:rPr>
                <w:rFonts w:eastAsia="ヒラギノ角ゴ Pro W3"/>
                <w:b/>
                <w:sz w:val="22"/>
                <w:szCs w:val="22"/>
              </w:rPr>
              <w:t>1</w:t>
            </w:r>
          </w:p>
        </w:tc>
        <w:tc>
          <w:tcPr>
            <w:tcW w:w="3828" w:type="dxa"/>
            <w:vAlign w:val="center"/>
          </w:tcPr>
          <w:p w14:paraId="0C478661" w14:textId="18FAEB3D" w:rsidR="00A00C46" w:rsidRPr="007F5966" w:rsidRDefault="007F5966" w:rsidP="0060328A">
            <w:pPr>
              <w:spacing w:line="276" w:lineRule="auto"/>
              <w:jc w:val="both"/>
              <w:rPr>
                <w:sz w:val="22"/>
                <w:szCs w:val="22"/>
              </w:rPr>
            </w:pPr>
            <w:r w:rsidRPr="007F5966">
              <w:rPr>
                <w:sz w:val="22"/>
                <w:szCs w:val="22"/>
              </w:rPr>
              <w:t>Utrecht University</w:t>
            </w:r>
          </w:p>
        </w:tc>
        <w:tc>
          <w:tcPr>
            <w:tcW w:w="4819" w:type="dxa"/>
            <w:vAlign w:val="center"/>
          </w:tcPr>
          <w:p w14:paraId="2EFAF79A" w14:textId="5566A66F" w:rsidR="00A00C46" w:rsidRPr="007F5966" w:rsidRDefault="007F5966" w:rsidP="0060328A">
            <w:pPr>
              <w:spacing w:line="276" w:lineRule="auto"/>
              <w:jc w:val="both"/>
              <w:rPr>
                <w:sz w:val="22"/>
                <w:szCs w:val="22"/>
              </w:rPr>
            </w:pPr>
            <w:r w:rsidRPr="007F5966">
              <w:rPr>
                <w:sz w:val="22"/>
                <w:szCs w:val="22"/>
              </w:rPr>
              <w:t xml:space="preserve">Mark Sanders (review), Erik Stam (review), Zoltan Acs </w:t>
            </w:r>
          </w:p>
        </w:tc>
      </w:tr>
      <w:tr w:rsidR="00A00C46" w:rsidRPr="007F5966" w14:paraId="32630239" w14:textId="77777777" w:rsidTr="007F5966">
        <w:trPr>
          <w:trHeight w:val="567"/>
        </w:trPr>
        <w:tc>
          <w:tcPr>
            <w:tcW w:w="1134" w:type="dxa"/>
            <w:vAlign w:val="center"/>
          </w:tcPr>
          <w:p w14:paraId="40F816C0" w14:textId="5DE60EF9" w:rsidR="00A00C46" w:rsidRPr="007F5966" w:rsidRDefault="007F5966" w:rsidP="0060328A">
            <w:pPr>
              <w:spacing w:line="276" w:lineRule="auto"/>
              <w:jc w:val="both"/>
              <w:rPr>
                <w:b/>
                <w:sz w:val="22"/>
                <w:szCs w:val="22"/>
              </w:rPr>
            </w:pPr>
            <w:r w:rsidRPr="007F5966">
              <w:rPr>
                <w:b/>
                <w:sz w:val="22"/>
                <w:szCs w:val="22"/>
              </w:rPr>
              <w:t>5</w:t>
            </w:r>
          </w:p>
        </w:tc>
        <w:tc>
          <w:tcPr>
            <w:tcW w:w="3828" w:type="dxa"/>
            <w:vAlign w:val="center"/>
          </w:tcPr>
          <w:p w14:paraId="088DAC21" w14:textId="7B78D8D2" w:rsidR="00A00C46" w:rsidRPr="007F5966" w:rsidRDefault="007F5966" w:rsidP="0060328A">
            <w:pPr>
              <w:spacing w:line="276" w:lineRule="auto"/>
              <w:jc w:val="both"/>
              <w:rPr>
                <w:sz w:val="22"/>
                <w:szCs w:val="22"/>
              </w:rPr>
            </w:pPr>
            <w:r w:rsidRPr="007F5966">
              <w:rPr>
                <w:sz w:val="22"/>
                <w:szCs w:val="22"/>
              </w:rPr>
              <w:t>University of Pecs</w:t>
            </w:r>
          </w:p>
        </w:tc>
        <w:tc>
          <w:tcPr>
            <w:tcW w:w="4819" w:type="dxa"/>
            <w:vAlign w:val="center"/>
          </w:tcPr>
          <w:p w14:paraId="3E112270" w14:textId="4027D690" w:rsidR="00A00C46" w:rsidRPr="007F5966" w:rsidRDefault="00BB2953" w:rsidP="0060328A">
            <w:pPr>
              <w:spacing w:line="276" w:lineRule="auto"/>
              <w:jc w:val="both"/>
              <w:rPr>
                <w:sz w:val="22"/>
                <w:szCs w:val="22"/>
              </w:rPr>
            </w:pPr>
            <w:proofErr w:type="spellStart"/>
            <w:r>
              <w:rPr>
                <w:sz w:val="22"/>
                <w:szCs w:val="22"/>
              </w:rPr>
              <w:t>László</w:t>
            </w:r>
            <w:proofErr w:type="spellEnd"/>
            <w:r w:rsidR="007F5966" w:rsidRPr="007F5966">
              <w:rPr>
                <w:sz w:val="22"/>
                <w:szCs w:val="22"/>
              </w:rPr>
              <w:t xml:space="preserve"> </w:t>
            </w:r>
            <w:proofErr w:type="spellStart"/>
            <w:r w:rsidR="007F5966" w:rsidRPr="007F5966">
              <w:rPr>
                <w:sz w:val="22"/>
                <w:szCs w:val="22"/>
              </w:rPr>
              <w:t>Szerb</w:t>
            </w:r>
            <w:proofErr w:type="spellEnd"/>
          </w:p>
        </w:tc>
      </w:tr>
      <w:tr w:rsidR="007F5966" w:rsidRPr="007F5966" w14:paraId="0ADEB9F6" w14:textId="77777777" w:rsidTr="007F5966">
        <w:trPr>
          <w:trHeight w:val="567"/>
        </w:trPr>
        <w:tc>
          <w:tcPr>
            <w:tcW w:w="1134" w:type="dxa"/>
            <w:vAlign w:val="center"/>
          </w:tcPr>
          <w:p w14:paraId="1B590EE3" w14:textId="3C2FD4BF" w:rsidR="007F5966" w:rsidRPr="007F5966" w:rsidRDefault="007F5966" w:rsidP="0060328A">
            <w:pPr>
              <w:spacing w:line="276" w:lineRule="auto"/>
              <w:jc w:val="both"/>
              <w:rPr>
                <w:sz w:val="22"/>
                <w:szCs w:val="22"/>
              </w:rPr>
            </w:pPr>
            <w:r w:rsidRPr="007F5966">
              <w:rPr>
                <w:rFonts w:eastAsia="ヒラギノ角ゴ Pro W3"/>
                <w:b/>
                <w:sz w:val="22"/>
                <w:szCs w:val="22"/>
              </w:rPr>
              <w:t>9</w:t>
            </w:r>
          </w:p>
        </w:tc>
        <w:tc>
          <w:tcPr>
            <w:tcW w:w="3828" w:type="dxa"/>
            <w:vAlign w:val="center"/>
          </w:tcPr>
          <w:p w14:paraId="429CED8F" w14:textId="12017B5B" w:rsidR="007F5966" w:rsidRPr="007F5966" w:rsidRDefault="007F5966" w:rsidP="0060328A">
            <w:pPr>
              <w:spacing w:line="276" w:lineRule="auto"/>
              <w:jc w:val="both"/>
              <w:rPr>
                <w:sz w:val="22"/>
                <w:szCs w:val="22"/>
              </w:rPr>
            </w:pPr>
            <w:r w:rsidRPr="007F5966">
              <w:rPr>
                <w:sz w:val="22"/>
                <w:szCs w:val="22"/>
              </w:rPr>
              <w:t>London School of Economics and Political Science</w:t>
            </w:r>
          </w:p>
        </w:tc>
        <w:tc>
          <w:tcPr>
            <w:tcW w:w="4819" w:type="dxa"/>
            <w:vAlign w:val="center"/>
          </w:tcPr>
          <w:p w14:paraId="195271A6" w14:textId="15064251" w:rsidR="007F5966" w:rsidRPr="007F5966" w:rsidRDefault="007F5966" w:rsidP="0060328A">
            <w:pPr>
              <w:spacing w:line="276" w:lineRule="auto"/>
              <w:jc w:val="both"/>
              <w:rPr>
                <w:sz w:val="22"/>
                <w:szCs w:val="22"/>
              </w:rPr>
            </w:pPr>
            <w:r w:rsidRPr="007F5966">
              <w:rPr>
                <w:sz w:val="22"/>
                <w:szCs w:val="22"/>
              </w:rPr>
              <w:t>Zoltan Acs</w:t>
            </w:r>
          </w:p>
        </w:tc>
      </w:tr>
    </w:tbl>
    <w:p w14:paraId="657CDD59" w14:textId="77777777" w:rsidR="0016011C" w:rsidRDefault="0016011C" w:rsidP="0060328A">
      <w:pPr>
        <w:pStyle w:val="Heading1"/>
        <w:spacing w:line="276" w:lineRule="auto"/>
        <w:jc w:val="both"/>
        <w:rPr>
          <w:i/>
        </w:rPr>
      </w:pPr>
    </w:p>
    <w:p w14:paraId="1822DC13" w14:textId="77777777" w:rsidR="0016011C" w:rsidRDefault="0016011C" w:rsidP="0060328A">
      <w:pPr>
        <w:spacing w:line="276" w:lineRule="auto"/>
        <w:jc w:val="both"/>
        <w:rPr>
          <w:rFonts w:eastAsia="MS Gothic"/>
          <w:b/>
          <w:bCs/>
          <w:i/>
          <w:color w:val="003399"/>
          <w:sz w:val="36"/>
          <w:szCs w:val="28"/>
        </w:rPr>
      </w:pPr>
      <w:r>
        <w:rPr>
          <w:i/>
        </w:rPr>
        <w:br w:type="page"/>
      </w:r>
    </w:p>
    <w:p w14:paraId="2314FF61" w14:textId="011CEF5C" w:rsidR="009B41EB" w:rsidRPr="000F6E13" w:rsidRDefault="008446DF" w:rsidP="0060328A">
      <w:pPr>
        <w:pStyle w:val="Heading1"/>
        <w:spacing w:line="276" w:lineRule="auto"/>
        <w:jc w:val="both"/>
        <w:rPr>
          <w:lang w:val="en-US"/>
        </w:rPr>
      </w:pPr>
      <w:bookmarkStart w:id="8" w:name="_Toc427918389"/>
      <w:bookmarkStart w:id="9" w:name="_Toc303834457"/>
      <w:bookmarkStart w:id="10" w:name="_Toc447096837"/>
      <w:r>
        <w:rPr>
          <w:lang w:val="en-US"/>
        </w:rPr>
        <w:lastRenderedPageBreak/>
        <w:t xml:space="preserve">Table of </w:t>
      </w:r>
      <w:r w:rsidR="006F1E2B" w:rsidRPr="000F6E13">
        <w:rPr>
          <w:lang w:val="en-US"/>
        </w:rPr>
        <w:t>Content</w:t>
      </w:r>
      <w:bookmarkEnd w:id="8"/>
      <w:bookmarkEnd w:id="9"/>
      <w:bookmarkEnd w:id="10"/>
      <w:r>
        <w:rPr>
          <w:lang w:val="en-US"/>
        </w:rPr>
        <w:t>s</w:t>
      </w:r>
    </w:p>
    <w:p w14:paraId="541FDB00" w14:textId="3942E3D7" w:rsidR="0060328A" w:rsidRDefault="0060328A" w:rsidP="0060328A">
      <w:pPr>
        <w:pStyle w:val="TOC1"/>
        <w:tabs>
          <w:tab w:val="right" w:leader="dot" w:pos="9060"/>
        </w:tabs>
        <w:jc w:val="both"/>
        <w:rPr>
          <w:rFonts w:asciiTheme="minorHAnsi" w:eastAsiaTheme="minorEastAsia" w:hAnsiTheme="minorHAnsi" w:cstheme="minorBidi"/>
          <w:noProof/>
          <w:sz w:val="22"/>
          <w:szCs w:val="22"/>
          <w:lang w:val="nl-NL"/>
        </w:rPr>
      </w:pPr>
      <w:r>
        <w:rPr>
          <w:rStyle w:val="Heading1Char"/>
          <w:rFonts w:eastAsia="MS Mincho"/>
          <w:b w:val="0"/>
          <w:bCs w:val="0"/>
          <w:color w:val="auto"/>
          <w:sz w:val="22"/>
          <w:szCs w:val="22"/>
        </w:rPr>
        <w:fldChar w:fldCharType="begin"/>
      </w:r>
      <w:r>
        <w:rPr>
          <w:rStyle w:val="Heading1Char"/>
          <w:rFonts w:eastAsia="MS Mincho"/>
          <w:b w:val="0"/>
          <w:bCs w:val="0"/>
          <w:color w:val="auto"/>
          <w:sz w:val="22"/>
          <w:szCs w:val="22"/>
        </w:rPr>
        <w:instrText xml:space="preserve"> </w:instrText>
      </w:r>
      <w:r>
        <w:rPr>
          <w:rStyle w:val="Heading1Char"/>
          <w:rFonts w:eastAsia="MS Mincho" w:hint="eastAsia"/>
          <w:b w:val="0"/>
          <w:bCs w:val="0"/>
          <w:color w:val="auto"/>
          <w:sz w:val="22"/>
          <w:szCs w:val="22"/>
        </w:rPr>
        <w:instrText>TOC \o "1-2"</w:instrText>
      </w:r>
      <w:r>
        <w:rPr>
          <w:rStyle w:val="Heading1Char"/>
          <w:rFonts w:eastAsia="MS Mincho"/>
          <w:b w:val="0"/>
          <w:bCs w:val="0"/>
          <w:color w:val="auto"/>
          <w:sz w:val="22"/>
          <w:szCs w:val="22"/>
        </w:rPr>
        <w:instrText xml:space="preserve"> </w:instrText>
      </w:r>
      <w:r>
        <w:rPr>
          <w:rStyle w:val="Heading1Char"/>
          <w:rFonts w:eastAsia="MS Mincho"/>
          <w:b w:val="0"/>
          <w:bCs w:val="0"/>
          <w:color w:val="auto"/>
          <w:sz w:val="22"/>
          <w:szCs w:val="22"/>
        </w:rPr>
        <w:fldChar w:fldCharType="separate"/>
      </w:r>
    </w:p>
    <w:p w14:paraId="652179B2" w14:textId="77777777" w:rsidR="0060328A" w:rsidRPr="0060328A" w:rsidRDefault="0060328A" w:rsidP="0060328A">
      <w:pPr>
        <w:pStyle w:val="TOC1"/>
        <w:tabs>
          <w:tab w:val="right" w:leader="dot" w:pos="9060"/>
        </w:tabs>
        <w:spacing w:line="276" w:lineRule="auto"/>
        <w:jc w:val="both"/>
        <w:rPr>
          <w:rFonts w:asciiTheme="minorHAnsi" w:eastAsiaTheme="minorEastAsia" w:hAnsiTheme="minorHAnsi" w:cstheme="minorBidi"/>
          <w:noProof/>
          <w:sz w:val="28"/>
          <w:szCs w:val="22"/>
          <w:lang w:val="nl-NL"/>
        </w:rPr>
      </w:pPr>
      <w:r w:rsidRPr="0060328A">
        <w:rPr>
          <w:noProof/>
          <w:sz w:val="24"/>
          <w:lang w:val="en-US"/>
        </w:rPr>
        <w:t>1. Executive summary</w:t>
      </w:r>
      <w:r w:rsidRPr="0060328A">
        <w:rPr>
          <w:noProof/>
          <w:sz w:val="24"/>
        </w:rPr>
        <w:tab/>
      </w:r>
      <w:r w:rsidRPr="0060328A">
        <w:rPr>
          <w:noProof/>
          <w:sz w:val="24"/>
        </w:rPr>
        <w:fldChar w:fldCharType="begin"/>
      </w:r>
      <w:r w:rsidRPr="0060328A">
        <w:rPr>
          <w:noProof/>
          <w:sz w:val="24"/>
        </w:rPr>
        <w:instrText xml:space="preserve"> PAGEREF _Toc447096845 \h </w:instrText>
      </w:r>
      <w:r w:rsidRPr="0060328A">
        <w:rPr>
          <w:noProof/>
          <w:sz w:val="24"/>
        </w:rPr>
      </w:r>
      <w:r w:rsidRPr="0060328A">
        <w:rPr>
          <w:noProof/>
          <w:sz w:val="24"/>
        </w:rPr>
        <w:fldChar w:fldCharType="separate"/>
      </w:r>
      <w:r w:rsidR="00972F11">
        <w:rPr>
          <w:noProof/>
          <w:sz w:val="24"/>
        </w:rPr>
        <w:t>4</w:t>
      </w:r>
      <w:r w:rsidRPr="0060328A">
        <w:rPr>
          <w:noProof/>
          <w:sz w:val="24"/>
        </w:rPr>
        <w:fldChar w:fldCharType="end"/>
      </w:r>
    </w:p>
    <w:p w14:paraId="504694AE" w14:textId="77777777" w:rsidR="0060328A" w:rsidRPr="0060328A" w:rsidRDefault="0060328A" w:rsidP="0060328A">
      <w:pPr>
        <w:pStyle w:val="TOC1"/>
        <w:tabs>
          <w:tab w:val="right" w:leader="dot" w:pos="9060"/>
        </w:tabs>
        <w:spacing w:line="276" w:lineRule="auto"/>
        <w:jc w:val="both"/>
        <w:rPr>
          <w:rFonts w:asciiTheme="minorHAnsi" w:eastAsiaTheme="minorEastAsia" w:hAnsiTheme="minorHAnsi" w:cstheme="minorBidi"/>
          <w:noProof/>
          <w:sz w:val="28"/>
          <w:szCs w:val="22"/>
          <w:lang w:val="nl-NL"/>
        </w:rPr>
      </w:pPr>
      <w:r w:rsidRPr="0060328A">
        <w:rPr>
          <w:noProof/>
          <w:sz w:val="24"/>
        </w:rPr>
        <w:t>2. Introduction</w:t>
      </w:r>
      <w:r w:rsidRPr="0060328A">
        <w:rPr>
          <w:noProof/>
          <w:sz w:val="24"/>
        </w:rPr>
        <w:tab/>
      </w:r>
      <w:r w:rsidRPr="0060328A">
        <w:rPr>
          <w:noProof/>
          <w:sz w:val="24"/>
        </w:rPr>
        <w:fldChar w:fldCharType="begin"/>
      </w:r>
      <w:r w:rsidRPr="0060328A">
        <w:rPr>
          <w:noProof/>
          <w:sz w:val="24"/>
        </w:rPr>
        <w:instrText xml:space="preserve"> PAGEREF _Toc447096846 \h </w:instrText>
      </w:r>
      <w:r w:rsidRPr="0060328A">
        <w:rPr>
          <w:noProof/>
          <w:sz w:val="24"/>
        </w:rPr>
      </w:r>
      <w:r w:rsidRPr="0060328A">
        <w:rPr>
          <w:noProof/>
          <w:sz w:val="24"/>
        </w:rPr>
        <w:fldChar w:fldCharType="separate"/>
      </w:r>
      <w:r w:rsidR="00972F11">
        <w:rPr>
          <w:noProof/>
          <w:sz w:val="24"/>
        </w:rPr>
        <w:t>5</w:t>
      </w:r>
      <w:r w:rsidRPr="0060328A">
        <w:rPr>
          <w:noProof/>
          <w:sz w:val="24"/>
        </w:rPr>
        <w:fldChar w:fldCharType="end"/>
      </w:r>
    </w:p>
    <w:p w14:paraId="3EC2AA15" w14:textId="77777777" w:rsidR="0060328A" w:rsidRPr="0060328A" w:rsidRDefault="0060328A" w:rsidP="0060328A">
      <w:pPr>
        <w:pStyle w:val="TOC1"/>
        <w:tabs>
          <w:tab w:val="right" w:leader="dot" w:pos="9060"/>
        </w:tabs>
        <w:spacing w:line="276" w:lineRule="auto"/>
        <w:jc w:val="both"/>
        <w:rPr>
          <w:rFonts w:asciiTheme="minorHAnsi" w:eastAsiaTheme="minorEastAsia" w:hAnsiTheme="minorHAnsi" w:cstheme="minorBidi"/>
          <w:noProof/>
          <w:sz w:val="28"/>
          <w:szCs w:val="22"/>
          <w:lang w:val="nl-NL"/>
        </w:rPr>
      </w:pPr>
      <w:r w:rsidRPr="0060328A">
        <w:rPr>
          <w:noProof/>
          <w:sz w:val="24"/>
        </w:rPr>
        <w:t>3. The Framing of National Systems of Entrepreneurship</w:t>
      </w:r>
      <w:r w:rsidRPr="0060328A">
        <w:rPr>
          <w:noProof/>
          <w:sz w:val="24"/>
        </w:rPr>
        <w:tab/>
      </w:r>
      <w:r w:rsidRPr="0060328A">
        <w:rPr>
          <w:noProof/>
          <w:sz w:val="24"/>
        </w:rPr>
        <w:fldChar w:fldCharType="begin"/>
      </w:r>
      <w:r w:rsidRPr="0060328A">
        <w:rPr>
          <w:noProof/>
          <w:sz w:val="24"/>
        </w:rPr>
        <w:instrText xml:space="preserve"> PAGEREF _Toc447096847 \h </w:instrText>
      </w:r>
      <w:r w:rsidRPr="0060328A">
        <w:rPr>
          <w:noProof/>
          <w:sz w:val="24"/>
        </w:rPr>
      </w:r>
      <w:r w:rsidRPr="0060328A">
        <w:rPr>
          <w:noProof/>
          <w:sz w:val="24"/>
        </w:rPr>
        <w:fldChar w:fldCharType="separate"/>
      </w:r>
      <w:r w:rsidR="00972F11">
        <w:rPr>
          <w:noProof/>
          <w:sz w:val="24"/>
        </w:rPr>
        <w:t>6</w:t>
      </w:r>
      <w:r w:rsidRPr="0060328A">
        <w:rPr>
          <w:noProof/>
          <w:sz w:val="24"/>
        </w:rPr>
        <w:fldChar w:fldCharType="end"/>
      </w:r>
    </w:p>
    <w:p w14:paraId="4D03BD6C" w14:textId="77777777" w:rsidR="0060328A" w:rsidRPr="0060328A" w:rsidRDefault="0060328A" w:rsidP="0060328A">
      <w:pPr>
        <w:pStyle w:val="TOC1"/>
        <w:tabs>
          <w:tab w:val="right" w:leader="dot" w:pos="9060"/>
        </w:tabs>
        <w:spacing w:line="276" w:lineRule="auto"/>
        <w:jc w:val="both"/>
        <w:rPr>
          <w:rFonts w:asciiTheme="minorHAnsi" w:eastAsiaTheme="minorEastAsia" w:hAnsiTheme="minorHAnsi" w:cstheme="minorBidi"/>
          <w:noProof/>
          <w:sz w:val="28"/>
          <w:szCs w:val="22"/>
          <w:lang w:val="nl-NL"/>
        </w:rPr>
      </w:pPr>
      <w:r w:rsidRPr="0060328A">
        <w:rPr>
          <w:noProof/>
          <w:sz w:val="24"/>
        </w:rPr>
        <w:t>4. The Logic of National System of Entrepreneurship</w:t>
      </w:r>
      <w:r w:rsidRPr="0060328A">
        <w:rPr>
          <w:noProof/>
          <w:sz w:val="24"/>
        </w:rPr>
        <w:tab/>
      </w:r>
      <w:r w:rsidRPr="0060328A">
        <w:rPr>
          <w:noProof/>
          <w:sz w:val="24"/>
        </w:rPr>
        <w:fldChar w:fldCharType="begin"/>
      </w:r>
      <w:r w:rsidRPr="0060328A">
        <w:rPr>
          <w:noProof/>
          <w:sz w:val="24"/>
        </w:rPr>
        <w:instrText xml:space="preserve"> PAGEREF _Toc447096848 \h </w:instrText>
      </w:r>
      <w:r w:rsidRPr="0060328A">
        <w:rPr>
          <w:noProof/>
          <w:sz w:val="24"/>
        </w:rPr>
      </w:r>
      <w:r w:rsidRPr="0060328A">
        <w:rPr>
          <w:noProof/>
          <w:sz w:val="24"/>
        </w:rPr>
        <w:fldChar w:fldCharType="separate"/>
      </w:r>
      <w:r w:rsidR="00972F11">
        <w:rPr>
          <w:noProof/>
          <w:sz w:val="24"/>
        </w:rPr>
        <w:t>9</w:t>
      </w:r>
      <w:r w:rsidRPr="0060328A">
        <w:rPr>
          <w:noProof/>
          <w:sz w:val="24"/>
        </w:rPr>
        <w:fldChar w:fldCharType="end"/>
      </w:r>
    </w:p>
    <w:p w14:paraId="2386B140" w14:textId="77777777" w:rsidR="0060328A" w:rsidRPr="0060328A" w:rsidRDefault="0060328A" w:rsidP="0060328A">
      <w:pPr>
        <w:pStyle w:val="TOC1"/>
        <w:tabs>
          <w:tab w:val="right" w:leader="dot" w:pos="9060"/>
        </w:tabs>
        <w:spacing w:line="276" w:lineRule="auto"/>
        <w:jc w:val="both"/>
        <w:rPr>
          <w:rFonts w:asciiTheme="minorHAnsi" w:eastAsiaTheme="minorEastAsia" w:hAnsiTheme="minorHAnsi" w:cstheme="minorBidi"/>
          <w:noProof/>
          <w:sz w:val="28"/>
          <w:szCs w:val="22"/>
          <w:lang w:val="nl-NL"/>
        </w:rPr>
      </w:pPr>
      <w:r w:rsidRPr="0060328A">
        <w:rPr>
          <w:noProof/>
          <w:sz w:val="24"/>
        </w:rPr>
        <w:t>5. The Re-composition of the GEI by Introducing Additional Institutional Variables</w:t>
      </w:r>
      <w:r w:rsidRPr="0060328A">
        <w:rPr>
          <w:noProof/>
          <w:sz w:val="24"/>
        </w:rPr>
        <w:tab/>
      </w:r>
      <w:r w:rsidRPr="0060328A">
        <w:rPr>
          <w:noProof/>
          <w:sz w:val="24"/>
        </w:rPr>
        <w:fldChar w:fldCharType="begin"/>
      </w:r>
      <w:r w:rsidRPr="0060328A">
        <w:rPr>
          <w:noProof/>
          <w:sz w:val="24"/>
        </w:rPr>
        <w:instrText xml:space="preserve"> PAGEREF _Toc447096849 \h </w:instrText>
      </w:r>
      <w:r w:rsidRPr="0060328A">
        <w:rPr>
          <w:noProof/>
          <w:sz w:val="24"/>
        </w:rPr>
      </w:r>
      <w:r w:rsidRPr="0060328A">
        <w:rPr>
          <w:noProof/>
          <w:sz w:val="24"/>
        </w:rPr>
        <w:fldChar w:fldCharType="separate"/>
      </w:r>
      <w:r w:rsidR="00972F11">
        <w:rPr>
          <w:noProof/>
          <w:sz w:val="24"/>
        </w:rPr>
        <w:t>11</w:t>
      </w:r>
      <w:r w:rsidRPr="0060328A">
        <w:rPr>
          <w:noProof/>
          <w:sz w:val="24"/>
        </w:rPr>
        <w:fldChar w:fldCharType="end"/>
      </w:r>
    </w:p>
    <w:p w14:paraId="014AB600" w14:textId="77777777" w:rsidR="0060328A" w:rsidRPr="0060328A" w:rsidRDefault="0060328A" w:rsidP="0060328A">
      <w:pPr>
        <w:pStyle w:val="TOC2"/>
        <w:tabs>
          <w:tab w:val="right" w:leader="dot" w:pos="9060"/>
        </w:tabs>
        <w:spacing w:line="276" w:lineRule="auto"/>
        <w:jc w:val="both"/>
        <w:rPr>
          <w:rFonts w:asciiTheme="minorHAnsi" w:eastAsiaTheme="minorEastAsia" w:hAnsiTheme="minorHAnsi" w:cstheme="minorBidi"/>
          <w:noProof/>
          <w:sz w:val="28"/>
          <w:szCs w:val="22"/>
          <w:lang w:val="nl-NL"/>
        </w:rPr>
      </w:pPr>
      <w:r w:rsidRPr="0060328A">
        <w:rPr>
          <w:noProof/>
          <w:sz w:val="24"/>
        </w:rPr>
        <w:t>5.1 Finance</w:t>
      </w:r>
      <w:r w:rsidRPr="0060328A">
        <w:rPr>
          <w:noProof/>
          <w:sz w:val="24"/>
        </w:rPr>
        <w:tab/>
      </w:r>
      <w:r w:rsidRPr="0060328A">
        <w:rPr>
          <w:noProof/>
          <w:sz w:val="24"/>
        </w:rPr>
        <w:fldChar w:fldCharType="begin"/>
      </w:r>
      <w:r w:rsidRPr="0060328A">
        <w:rPr>
          <w:noProof/>
          <w:sz w:val="24"/>
        </w:rPr>
        <w:instrText xml:space="preserve"> PAGEREF _Toc447096850 \h </w:instrText>
      </w:r>
      <w:r w:rsidRPr="0060328A">
        <w:rPr>
          <w:noProof/>
          <w:sz w:val="24"/>
        </w:rPr>
      </w:r>
      <w:r w:rsidRPr="0060328A">
        <w:rPr>
          <w:noProof/>
          <w:sz w:val="24"/>
        </w:rPr>
        <w:fldChar w:fldCharType="separate"/>
      </w:r>
      <w:r w:rsidR="00972F11">
        <w:rPr>
          <w:noProof/>
          <w:sz w:val="24"/>
        </w:rPr>
        <w:t>12</w:t>
      </w:r>
      <w:r w:rsidRPr="0060328A">
        <w:rPr>
          <w:noProof/>
          <w:sz w:val="24"/>
        </w:rPr>
        <w:fldChar w:fldCharType="end"/>
      </w:r>
    </w:p>
    <w:p w14:paraId="2A34D7FF" w14:textId="77777777" w:rsidR="0060328A" w:rsidRPr="0060328A" w:rsidRDefault="0060328A" w:rsidP="0060328A">
      <w:pPr>
        <w:pStyle w:val="TOC2"/>
        <w:tabs>
          <w:tab w:val="right" w:leader="dot" w:pos="9060"/>
        </w:tabs>
        <w:spacing w:line="276" w:lineRule="auto"/>
        <w:jc w:val="both"/>
        <w:rPr>
          <w:rFonts w:asciiTheme="minorHAnsi" w:eastAsiaTheme="minorEastAsia" w:hAnsiTheme="minorHAnsi" w:cstheme="minorBidi"/>
          <w:noProof/>
          <w:sz w:val="28"/>
          <w:szCs w:val="22"/>
          <w:lang w:val="nl-NL"/>
        </w:rPr>
      </w:pPr>
      <w:r w:rsidRPr="0060328A">
        <w:rPr>
          <w:noProof/>
          <w:sz w:val="24"/>
        </w:rPr>
        <w:t>5.2 Labour Markets</w:t>
      </w:r>
      <w:r w:rsidRPr="0060328A">
        <w:rPr>
          <w:noProof/>
          <w:sz w:val="24"/>
        </w:rPr>
        <w:tab/>
      </w:r>
      <w:r w:rsidRPr="0060328A">
        <w:rPr>
          <w:noProof/>
          <w:sz w:val="24"/>
        </w:rPr>
        <w:fldChar w:fldCharType="begin"/>
      </w:r>
      <w:r w:rsidRPr="0060328A">
        <w:rPr>
          <w:noProof/>
          <w:sz w:val="24"/>
        </w:rPr>
        <w:instrText xml:space="preserve"> PAGEREF _Toc447096851 \h </w:instrText>
      </w:r>
      <w:r w:rsidRPr="0060328A">
        <w:rPr>
          <w:noProof/>
          <w:sz w:val="24"/>
        </w:rPr>
      </w:r>
      <w:r w:rsidRPr="0060328A">
        <w:rPr>
          <w:noProof/>
          <w:sz w:val="24"/>
        </w:rPr>
        <w:fldChar w:fldCharType="separate"/>
      </w:r>
      <w:r w:rsidR="00972F11">
        <w:rPr>
          <w:noProof/>
          <w:sz w:val="24"/>
        </w:rPr>
        <w:t>14</w:t>
      </w:r>
      <w:r w:rsidRPr="0060328A">
        <w:rPr>
          <w:noProof/>
          <w:sz w:val="24"/>
        </w:rPr>
        <w:fldChar w:fldCharType="end"/>
      </w:r>
    </w:p>
    <w:p w14:paraId="484F1BBE" w14:textId="77777777" w:rsidR="0060328A" w:rsidRPr="0060328A" w:rsidRDefault="0060328A" w:rsidP="0060328A">
      <w:pPr>
        <w:pStyle w:val="TOC2"/>
        <w:tabs>
          <w:tab w:val="right" w:leader="dot" w:pos="9060"/>
        </w:tabs>
        <w:spacing w:line="276" w:lineRule="auto"/>
        <w:jc w:val="both"/>
        <w:rPr>
          <w:rFonts w:asciiTheme="minorHAnsi" w:eastAsiaTheme="minorEastAsia" w:hAnsiTheme="minorHAnsi" w:cstheme="minorBidi"/>
          <w:noProof/>
          <w:sz w:val="28"/>
          <w:szCs w:val="22"/>
          <w:lang w:val="nl-NL"/>
        </w:rPr>
      </w:pPr>
      <w:r w:rsidRPr="0060328A">
        <w:rPr>
          <w:noProof/>
          <w:sz w:val="24"/>
        </w:rPr>
        <w:t>5.3 Taxes</w:t>
      </w:r>
      <w:r w:rsidRPr="0060328A">
        <w:rPr>
          <w:noProof/>
          <w:sz w:val="24"/>
        </w:rPr>
        <w:tab/>
      </w:r>
      <w:r w:rsidRPr="0060328A">
        <w:rPr>
          <w:noProof/>
          <w:sz w:val="24"/>
        </w:rPr>
        <w:fldChar w:fldCharType="begin"/>
      </w:r>
      <w:r w:rsidRPr="0060328A">
        <w:rPr>
          <w:noProof/>
          <w:sz w:val="24"/>
        </w:rPr>
        <w:instrText xml:space="preserve"> PAGEREF _Toc447096852 \h </w:instrText>
      </w:r>
      <w:r w:rsidRPr="0060328A">
        <w:rPr>
          <w:noProof/>
          <w:sz w:val="24"/>
        </w:rPr>
      </w:r>
      <w:r w:rsidRPr="0060328A">
        <w:rPr>
          <w:noProof/>
          <w:sz w:val="24"/>
        </w:rPr>
        <w:fldChar w:fldCharType="separate"/>
      </w:r>
      <w:r w:rsidR="00972F11">
        <w:rPr>
          <w:noProof/>
          <w:sz w:val="24"/>
        </w:rPr>
        <w:t>16</w:t>
      </w:r>
      <w:r w:rsidRPr="0060328A">
        <w:rPr>
          <w:noProof/>
          <w:sz w:val="24"/>
        </w:rPr>
        <w:fldChar w:fldCharType="end"/>
      </w:r>
    </w:p>
    <w:p w14:paraId="1DE81FA8" w14:textId="77777777" w:rsidR="0060328A" w:rsidRPr="0060328A" w:rsidRDefault="0060328A" w:rsidP="0060328A">
      <w:pPr>
        <w:pStyle w:val="TOC2"/>
        <w:tabs>
          <w:tab w:val="right" w:leader="dot" w:pos="9060"/>
        </w:tabs>
        <w:spacing w:line="276" w:lineRule="auto"/>
        <w:jc w:val="both"/>
        <w:rPr>
          <w:rFonts w:asciiTheme="minorHAnsi" w:eastAsiaTheme="minorEastAsia" w:hAnsiTheme="minorHAnsi" w:cstheme="minorBidi"/>
          <w:noProof/>
          <w:sz w:val="28"/>
          <w:szCs w:val="22"/>
          <w:lang w:val="nl-NL"/>
        </w:rPr>
      </w:pPr>
      <w:r w:rsidRPr="0060328A">
        <w:rPr>
          <w:noProof/>
          <w:sz w:val="24"/>
        </w:rPr>
        <w:t>5.4 Knowledge Institutions</w:t>
      </w:r>
      <w:r w:rsidRPr="0060328A">
        <w:rPr>
          <w:noProof/>
          <w:sz w:val="24"/>
        </w:rPr>
        <w:tab/>
      </w:r>
      <w:r w:rsidRPr="0060328A">
        <w:rPr>
          <w:noProof/>
          <w:sz w:val="24"/>
        </w:rPr>
        <w:fldChar w:fldCharType="begin"/>
      </w:r>
      <w:r w:rsidRPr="0060328A">
        <w:rPr>
          <w:noProof/>
          <w:sz w:val="24"/>
        </w:rPr>
        <w:instrText xml:space="preserve"> PAGEREF _Toc447096853 \h </w:instrText>
      </w:r>
      <w:r w:rsidRPr="0060328A">
        <w:rPr>
          <w:noProof/>
          <w:sz w:val="24"/>
        </w:rPr>
      </w:r>
      <w:r w:rsidRPr="0060328A">
        <w:rPr>
          <w:noProof/>
          <w:sz w:val="24"/>
        </w:rPr>
        <w:fldChar w:fldCharType="separate"/>
      </w:r>
      <w:r w:rsidR="00972F11">
        <w:rPr>
          <w:noProof/>
          <w:sz w:val="24"/>
        </w:rPr>
        <w:t>18</w:t>
      </w:r>
      <w:r w:rsidRPr="0060328A">
        <w:rPr>
          <w:noProof/>
          <w:sz w:val="24"/>
        </w:rPr>
        <w:fldChar w:fldCharType="end"/>
      </w:r>
    </w:p>
    <w:p w14:paraId="6D1320CF" w14:textId="77777777" w:rsidR="0060328A" w:rsidRPr="0060328A" w:rsidRDefault="0060328A" w:rsidP="0060328A">
      <w:pPr>
        <w:pStyle w:val="TOC2"/>
        <w:tabs>
          <w:tab w:val="right" w:leader="dot" w:pos="9060"/>
        </w:tabs>
        <w:spacing w:line="276" w:lineRule="auto"/>
        <w:jc w:val="both"/>
        <w:rPr>
          <w:rFonts w:asciiTheme="minorHAnsi" w:eastAsiaTheme="minorEastAsia" w:hAnsiTheme="minorHAnsi" w:cstheme="minorBidi"/>
          <w:noProof/>
          <w:sz w:val="28"/>
          <w:szCs w:val="22"/>
          <w:lang w:val="nl-NL"/>
        </w:rPr>
      </w:pPr>
      <w:r w:rsidRPr="0060328A">
        <w:rPr>
          <w:noProof/>
          <w:sz w:val="24"/>
        </w:rPr>
        <w:t>5.5 A Summary of what we have proposed</w:t>
      </w:r>
      <w:r w:rsidRPr="0060328A">
        <w:rPr>
          <w:noProof/>
          <w:sz w:val="24"/>
        </w:rPr>
        <w:tab/>
      </w:r>
      <w:r w:rsidRPr="0060328A">
        <w:rPr>
          <w:noProof/>
          <w:sz w:val="24"/>
        </w:rPr>
        <w:fldChar w:fldCharType="begin"/>
      </w:r>
      <w:r w:rsidRPr="0060328A">
        <w:rPr>
          <w:noProof/>
          <w:sz w:val="24"/>
        </w:rPr>
        <w:instrText xml:space="preserve"> PAGEREF _Toc447096854 \h </w:instrText>
      </w:r>
      <w:r w:rsidRPr="0060328A">
        <w:rPr>
          <w:noProof/>
          <w:sz w:val="24"/>
        </w:rPr>
      </w:r>
      <w:r w:rsidRPr="0060328A">
        <w:rPr>
          <w:noProof/>
          <w:sz w:val="24"/>
        </w:rPr>
        <w:fldChar w:fldCharType="separate"/>
      </w:r>
      <w:r w:rsidR="00972F11">
        <w:rPr>
          <w:noProof/>
          <w:sz w:val="24"/>
        </w:rPr>
        <w:t>18</w:t>
      </w:r>
      <w:r w:rsidRPr="0060328A">
        <w:rPr>
          <w:noProof/>
          <w:sz w:val="24"/>
        </w:rPr>
        <w:fldChar w:fldCharType="end"/>
      </w:r>
    </w:p>
    <w:p w14:paraId="11DE888F" w14:textId="77777777" w:rsidR="0060328A" w:rsidRPr="0060328A" w:rsidRDefault="0060328A" w:rsidP="0060328A">
      <w:pPr>
        <w:pStyle w:val="TOC2"/>
        <w:tabs>
          <w:tab w:val="right" w:leader="dot" w:pos="9060"/>
        </w:tabs>
        <w:spacing w:line="276" w:lineRule="auto"/>
        <w:jc w:val="both"/>
        <w:rPr>
          <w:rFonts w:asciiTheme="minorHAnsi" w:eastAsiaTheme="minorEastAsia" w:hAnsiTheme="minorHAnsi" w:cstheme="minorBidi"/>
          <w:noProof/>
          <w:sz w:val="28"/>
          <w:szCs w:val="22"/>
          <w:lang w:val="nl-NL"/>
        </w:rPr>
      </w:pPr>
      <w:r w:rsidRPr="0060328A">
        <w:rPr>
          <w:noProof/>
          <w:sz w:val="24"/>
        </w:rPr>
        <w:t>5.6 What a new GEI looks like</w:t>
      </w:r>
      <w:r w:rsidRPr="0060328A">
        <w:rPr>
          <w:noProof/>
          <w:sz w:val="24"/>
        </w:rPr>
        <w:tab/>
      </w:r>
      <w:r w:rsidRPr="0060328A">
        <w:rPr>
          <w:noProof/>
          <w:sz w:val="24"/>
        </w:rPr>
        <w:fldChar w:fldCharType="begin"/>
      </w:r>
      <w:r w:rsidRPr="0060328A">
        <w:rPr>
          <w:noProof/>
          <w:sz w:val="24"/>
        </w:rPr>
        <w:instrText xml:space="preserve"> PAGEREF _Toc447096855 \h </w:instrText>
      </w:r>
      <w:r w:rsidRPr="0060328A">
        <w:rPr>
          <w:noProof/>
          <w:sz w:val="24"/>
        </w:rPr>
      </w:r>
      <w:r w:rsidRPr="0060328A">
        <w:rPr>
          <w:noProof/>
          <w:sz w:val="24"/>
        </w:rPr>
        <w:fldChar w:fldCharType="separate"/>
      </w:r>
      <w:r w:rsidR="00972F11">
        <w:rPr>
          <w:noProof/>
          <w:sz w:val="24"/>
        </w:rPr>
        <w:t>20</w:t>
      </w:r>
      <w:r w:rsidRPr="0060328A">
        <w:rPr>
          <w:noProof/>
          <w:sz w:val="24"/>
        </w:rPr>
        <w:fldChar w:fldCharType="end"/>
      </w:r>
    </w:p>
    <w:p w14:paraId="212983E2" w14:textId="77777777" w:rsidR="0060328A" w:rsidRPr="0060328A" w:rsidRDefault="0060328A" w:rsidP="0060328A">
      <w:pPr>
        <w:pStyle w:val="TOC1"/>
        <w:tabs>
          <w:tab w:val="right" w:leader="dot" w:pos="9060"/>
        </w:tabs>
        <w:spacing w:line="276" w:lineRule="auto"/>
        <w:jc w:val="both"/>
        <w:rPr>
          <w:rFonts w:asciiTheme="minorHAnsi" w:eastAsiaTheme="minorEastAsia" w:hAnsiTheme="minorHAnsi" w:cstheme="minorBidi"/>
          <w:noProof/>
          <w:sz w:val="28"/>
          <w:szCs w:val="22"/>
          <w:lang w:val="nl-NL"/>
        </w:rPr>
      </w:pPr>
      <w:r w:rsidRPr="0060328A">
        <w:rPr>
          <w:noProof/>
          <w:sz w:val="24"/>
        </w:rPr>
        <w:t>6. Conclusions</w:t>
      </w:r>
      <w:r w:rsidRPr="0060328A">
        <w:rPr>
          <w:noProof/>
          <w:sz w:val="24"/>
        </w:rPr>
        <w:tab/>
      </w:r>
      <w:r w:rsidRPr="0060328A">
        <w:rPr>
          <w:noProof/>
          <w:sz w:val="24"/>
        </w:rPr>
        <w:fldChar w:fldCharType="begin"/>
      </w:r>
      <w:r w:rsidRPr="0060328A">
        <w:rPr>
          <w:noProof/>
          <w:sz w:val="24"/>
        </w:rPr>
        <w:instrText xml:space="preserve"> PAGEREF _Toc447096856 \h </w:instrText>
      </w:r>
      <w:r w:rsidRPr="0060328A">
        <w:rPr>
          <w:noProof/>
          <w:sz w:val="24"/>
        </w:rPr>
      </w:r>
      <w:r w:rsidRPr="0060328A">
        <w:rPr>
          <w:noProof/>
          <w:sz w:val="24"/>
        </w:rPr>
        <w:fldChar w:fldCharType="separate"/>
      </w:r>
      <w:r w:rsidR="00972F11">
        <w:rPr>
          <w:noProof/>
          <w:sz w:val="24"/>
        </w:rPr>
        <w:t>22</w:t>
      </w:r>
      <w:r w:rsidRPr="0060328A">
        <w:rPr>
          <w:noProof/>
          <w:sz w:val="24"/>
        </w:rPr>
        <w:fldChar w:fldCharType="end"/>
      </w:r>
    </w:p>
    <w:p w14:paraId="50B535D7" w14:textId="77777777" w:rsidR="0060328A" w:rsidRPr="0060328A" w:rsidRDefault="0060328A" w:rsidP="0060328A">
      <w:pPr>
        <w:pStyle w:val="TOC1"/>
        <w:tabs>
          <w:tab w:val="right" w:leader="dot" w:pos="9060"/>
        </w:tabs>
        <w:spacing w:line="276" w:lineRule="auto"/>
        <w:jc w:val="both"/>
        <w:rPr>
          <w:rFonts w:asciiTheme="minorHAnsi" w:eastAsiaTheme="minorEastAsia" w:hAnsiTheme="minorHAnsi" w:cstheme="minorBidi"/>
          <w:noProof/>
          <w:sz w:val="28"/>
          <w:szCs w:val="22"/>
          <w:lang w:val="nl-NL"/>
        </w:rPr>
      </w:pPr>
      <w:r w:rsidRPr="0060328A">
        <w:rPr>
          <w:noProof/>
          <w:sz w:val="24"/>
        </w:rPr>
        <w:t>7.  References</w:t>
      </w:r>
      <w:r w:rsidRPr="0060328A">
        <w:rPr>
          <w:noProof/>
          <w:sz w:val="24"/>
        </w:rPr>
        <w:tab/>
      </w:r>
      <w:r w:rsidRPr="0060328A">
        <w:rPr>
          <w:noProof/>
          <w:sz w:val="24"/>
        </w:rPr>
        <w:fldChar w:fldCharType="begin"/>
      </w:r>
      <w:r w:rsidRPr="0060328A">
        <w:rPr>
          <w:noProof/>
          <w:sz w:val="24"/>
        </w:rPr>
        <w:instrText xml:space="preserve"> PAGEREF _Toc447096857 \h </w:instrText>
      </w:r>
      <w:r w:rsidRPr="0060328A">
        <w:rPr>
          <w:noProof/>
          <w:sz w:val="24"/>
        </w:rPr>
      </w:r>
      <w:r w:rsidRPr="0060328A">
        <w:rPr>
          <w:noProof/>
          <w:sz w:val="24"/>
        </w:rPr>
        <w:fldChar w:fldCharType="separate"/>
      </w:r>
      <w:r w:rsidR="00972F11">
        <w:rPr>
          <w:noProof/>
          <w:sz w:val="24"/>
        </w:rPr>
        <w:t>23</w:t>
      </w:r>
      <w:r w:rsidRPr="0060328A">
        <w:rPr>
          <w:noProof/>
          <w:sz w:val="24"/>
        </w:rPr>
        <w:fldChar w:fldCharType="end"/>
      </w:r>
    </w:p>
    <w:p w14:paraId="52DF508C" w14:textId="77777777" w:rsidR="0060328A" w:rsidRPr="0060328A" w:rsidRDefault="0060328A" w:rsidP="0060328A">
      <w:pPr>
        <w:pStyle w:val="TOC1"/>
        <w:tabs>
          <w:tab w:val="right" w:leader="dot" w:pos="9060"/>
        </w:tabs>
        <w:spacing w:line="276" w:lineRule="auto"/>
        <w:jc w:val="both"/>
        <w:rPr>
          <w:rFonts w:asciiTheme="minorHAnsi" w:eastAsiaTheme="minorEastAsia" w:hAnsiTheme="minorHAnsi" w:cstheme="minorBidi"/>
          <w:noProof/>
          <w:sz w:val="28"/>
          <w:szCs w:val="22"/>
          <w:lang w:val="nl-NL"/>
        </w:rPr>
      </w:pPr>
      <w:r w:rsidRPr="0060328A">
        <w:rPr>
          <w:noProof/>
          <w:sz w:val="24"/>
        </w:rPr>
        <w:t>8.  Appendix</w:t>
      </w:r>
      <w:r w:rsidRPr="0060328A">
        <w:rPr>
          <w:noProof/>
          <w:sz w:val="24"/>
        </w:rPr>
        <w:tab/>
      </w:r>
      <w:r w:rsidRPr="0060328A">
        <w:rPr>
          <w:noProof/>
          <w:sz w:val="24"/>
        </w:rPr>
        <w:fldChar w:fldCharType="begin"/>
      </w:r>
      <w:r w:rsidRPr="0060328A">
        <w:rPr>
          <w:noProof/>
          <w:sz w:val="24"/>
        </w:rPr>
        <w:instrText xml:space="preserve"> PAGEREF _Toc447096858 \h </w:instrText>
      </w:r>
      <w:r w:rsidRPr="0060328A">
        <w:rPr>
          <w:noProof/>
          <w:sz w:val="24"/>
        </w:rPr>
      </w:r>
      <w:r w:rsidRPr="0060328A">
        <w:rPr>
          <w:noProof/>
          <w:sz w:val="24"/>
        </w:rPr>
        <w:fldChar w:fldCharType="separate"/>
      </w:r>
      <w:r w:rsidR="00972F11">
        <w:rPr>
          <w:noProof/>
          <w:sz w:val="24"/>
        </w:rPr>
        <w:t>29</w:t>
      </w:r>
      <w:r w:rsidRPr="0060328A">
        <w:rPr>
          <w:noProof/>
          <w:sz w:val="24"/>
        </w:rPr>
        <w:fldChar w:fldCharType="end"/>
      </w:r>
    </w:p>
    <w:p w14:paraId="5C21E3B9" w14:textId="77777777" w:rsidR="0060328A" w:rsidRDefault="0060328A" w:rsidP="0060328A">
      <w:pPr>
        <w:spacing w:line="276" w:lineRule="auto"/>
        <w:jc w:val="both"/>
        <w:rPr>
          <w:rStyle w:val="Heading1Char"/>
          <w:rFonts w:eastAsia="MS Mincho"/>
          <w:b w:val="0"/>
          <w:bCs w:val="0"/>
          <w:color w:val="auto"/>
          <w:sz w:val="22"/>
          <w:szCs w:val="22"/>
        </w:rPr>
      </w:pPr>
      <w:r>
        <w:rPr>
          <w:rStyle w:val="Heading1Char"/>
          <w:rFonts w:eastAsia="MS Mincho"/>
          <w:b w:val="0"/>
          <w:bCs w:val="0"/>
          <w:color w:val="auto"/>
          <w:sz w:val="22"/>
          <w:szCs w:val="22"/>
        </w:rPr>
        <w:fldChar w:fldCharType="end"/>
      </w:r>
      <w:bookmarkStart w:id="11" w:name="_Toc447096838"/>
    </w:p>
    <w:p w14:paraId="1B8A283A" w14:textId="1B2A1A62" w:rsidR="0060328A" w:rsidRPr="008446DF" w:rsidRDefault="0060328A" w:rsidP="008446DF">
      <w:pPr>
        <w:pStyle w:val="Heading1"/>
        <w:spacing w:line="276" w:lineRule="auto"/>
        <w:jc w:val="both"/>
        <w:rPr>
          <w:lang w:val="en-US"/>
        </w:rPr>
      </w:pPr>
      <w:r w:rsidRPr="008446DF">
        <w:rPr>
          <w:b w:val="0"/>
          <w:bCs w:val="0"/>
          <w:lang w:val="en-US"/>
        </w:rPr>
        <w:t>List of Abbreviations:</w:t>
      </w:r>
      <w:bookmarkEnd w:id="11"/>
    </w:p>
    <w:p w14:paraId="7F5B8A15" w14:textId="1E35F384" w:rsidR="009B41EB" w:rsidRPr="008446DF" w:rsidRDefault="00884CA0" w:rsidP="008446DF">
      <w:pPr>
        <w:spacing w:line="276" w:lineRule="auto"/>
        <w:jc w:val="both"/>
        <w:rPr>
          <w:rStyle w:val="Heading1Char"/>
          <w:rFonts w:eastAsia="MS Mincho"/>
          <w:b w:val="0"/>
          <w:bCs w:val="0"/>
          <w:color w:val="auto"/>
          <w:sz w:val="24"/>
          <w:szCs w:val="22"/>
        </w:rPr>
      </w:pPr>
      <w:bookmarkStart w:id="12" w:name="_Toc447096839"/>
      <w:r w:rsidRPr="008446DF">
        <w:rPr>
          <w:rStyle w:val="Heading1Char"/>
          <w:rFonts w:eastAsia="MS Mincho"/>
          <w:b w:val="0"/>
          <w:bCs w:val="0"/>
          <w:color w:val="auto"/>
          <w:sz w:val="24"/>
          <w:szCs w:val="22"/>
        </w:rPr>
        <w:t>REDI:  Regional Entrepreneurship and Development Index</w:t>
      </w:r>
      <w:bookmarkEnd w:id="12"/>
    </w:p>
    <w:p w14:paraId="58E349CE" w14:textId="229347F1" w:rsidR="00884CA0" w:rsidRPr="008446DF" w:rsidRDefault="00884CA0" w:rsidP="008446DF">
      <w:pPr>
        <w:spacing w:line="276" w:lineRule="auto"/>
        <w:jc w:val="both"/>
        <w:rPr>
          <w:rStyle w:val="Heading1Char"/>
          <w:rFonts w:eastAsia="MS Mincho"/>
          <w:b w:val="0"/>
          <w:bCs w:val="0"/>
          <w:color w:val="auto"/>
          <w:sz w:val="24"/>
          <w:szCs w:val="22"/>
        </w:rPr>
      </w:pPr>
      <w:bookmarkStart w:id="13" w:name="_Toc447096840"/>
      <w:r w:rsidRPr="008446DF">
        <w:rPr>
          <w:rStyle w:val="Heading1Char"/>
          <w:rFonts w:eastAsia="MS Mincho"/>
          <w:b w:val="0"/>
          <w:bCs w:val="0"/>
          <w:color w:val="auto"/>
          <w:sz w:val="24"/>
          <w:szCs w:val="22"/>
        </w:rPr>
        <w:t>GEDI:  Global Entrepreneurship and Development Index</w:t>
      </w:r>
      <w:bookmarkEnd w:id="13"/>
    </w:p>
    <w:p w14:paraId="5B118CD7" w14:textId="6F325BD6" w:rsidR="00884CA0" w:rsidRPr="008446DF" w:rsidRDefault="00884CA0" w:rsidP="008446DF">
      <w:pPr>
        <w:spacing w:line="276" w:lineRule="auto"/>
        <w:jc w:val="both"/>
        <w:rPr>
          <w:rStyle w:val="Heading1Char"/>
          <w:rFonts w:eastAsia="MS Mincho"/>
          <w:b w:val="0"/>
          <w:bCs w:val="0"/>
          <w:color w:val="auto"/>
          <w:sz w:val="24"/>
          <w:szCs w:val="22"/>
        </w:rPr>
      </w:pPr>
      <w:r w:rsidRPr="008446DF">
        <w:rPr>
          <w:sz w:val="24"/>
          <w:szCs w:val="22"/>
          <w:lang w:val="en-US"/>
        </w:rPr>
        <w:t xml:space="preserve">GEDI: </w:t>
      </w:r>
      <w:r w:rsidRPr="008446DF">
        <w:rPr>
          <w:rStyle w:val="Heading1Char"/>
          <w:rFonts w:eastAsia="MS Mincho"/>
          <w:b w:val="0"/>
          <w:bCs w:val="0"/>
          <w:color w:val="auto"/>
          <w:sz w:val="24"/>
          <w:szCs w:val="22"/>
        </w:rPr>
        <w:t xml:space="preserve"> Global Entrepreneurship and Index</w:t>
      </w:r>
    </w:p>
    <w:p w14:paraId="79FA24C3" w14:textId="4045D17A" w:rsidR="00884CA0" w:rsidRPr="008446DF" w:rsidRDefault="00884CA0" w:rsidP="008446DF">
      <w:pPr>
        <w:spacing w:line="276" w:lineRule="auto"/>
        <w:jc w:val="both"/>
        <w:rPr>
          <w:rStyle w:val="Heading1Char"/>
          <w:rFonts w:eastAsia="MS Mincho"/>
          <w:b w:val="0"/>
          <w:bCs w:val="0"/>
          <w:color w:val="auto"/>
          <w:sz w:val="24"/>
          <w:szCs w:val="22"/>
        </w:rPr>
      </w:pPr>
      <w:bookmarkStart w:id="14" w:name="_Toc447096841"/>
      <w:r w:rsidRPr="008446DF">
        <w:rPr>
          <w:rStyle w:val="Heading1Char"/>
          <w:rFonts w:eastAsia="MS Mincho"/>
          <w:b w:val="0"/>
          <w:bCs w:val="0"/>
          <w:color w:val="auto"/>
          <w:sz w:val="24"/>
          <w:szCs w:val="22"/>
        </w:rPr>
        <w:t>NSI:  National System of Innovation</w:t>
      </w:r>
      <w:bookmarkEnd w:id="14"/>
    </w:p>
    <w:p w14:paraId="0C614EFE" w14:textId="5181FF20" w:rsidR="00884CA0" w:rsidRPr="008446DF" w:rsidRDefault="00884CA0" w:rsidP="008446DF">
      <w:pPr>
        <w:spacing w:line="276" w:lineRule="auto"/>
        <w:jc w:val="both"/>
        <w:rPr>
          <w:rStyle w:val="Heading1Char"/>
          <w:rFonts w:eastAsia="MS Mincho"/>
          <w:b w:val="0"/>
          <w:bCs w:val="0"/>
          <w:color w:val="auto"/>
          <w:sz w:val="24"/>
          <w:szCs w:val="22"/>
        </w:rPr>
      </w:pPr>
      <w:bookmarkStart w:id="15" w:name="_Toc447096842"/>
      <w:r w:rsidRPr="008446DF">
        <w:rPr>
          <w:rStyle w:val="Heading1Char"/>
          <w:rFonts w:eastAsia="MS Mincho"/>
          <w:b w:val="0"/>
          <w:bCs w:val="0"/>
          <w:color w:val="auto"/>
          <w:sz w:val="24"/>
          <w:szCs w:val="22"/>
        </w:rPr>
        <w:t>NSE:  National Systems of Entrepreneurship</w:t>
      </w:r>
      <w:bookmarkEnd w:id="15"/>
    </w:p>
    <w:p w14:paraId="0325453F" w14:textId="353D2EA1" w:rsidR="00884CA0" w:rsidRPr="008446DF" w:rsidRDefault="00884CA0" w:rsidP="008446DF">
      <w:pPr>
        <w:spacing w:line="276" w:lineRule="auto"/>
        <w:jc w:val="both"/>
        <w:rPr>
          <w:rStyle w:val="Heading1Char"/>
          <w:rFonts w:eastAsia="MS Mincho"/>
          <w:b w:val="0"/>
          <w:bCs w:val="0"/>
          <w:color w:val="auto"/>
          <w:sz w:val="24"/>
          <w:szCs w:val="22"/>
        </w:rPr>
      </w:pPr>
      <w:bookmarkStart w:id="16" w:name="_Toc447096843"/>
      <w:r w:rsidRPr="008446DF">
        <w:rPr>
          <w:rStyle w:val="Heading1Char"/>
          <w:rFonts w:eastAsia="MS Mincho"/>
          <w:b w:val="0"/>
          <w:bCs w:val="0"/>
          <w:color w:val="auto"/>
          <w:sz w:val="24"/>
          <w:szCs w:val="22"/>
        </w:rPr>
        <w:t>RSE:  Regional Systems of Entrepreneurship</w:t>
      </w:r>
      <w:bookmarkEnd w:id="16"/>
    </w:p>
    <w:p w14:paraId="6EC34547" w14:textId="5445AF00" w:rsidR="00884CA0" w:rsidRPr="008446DF" w:rsidRDefault="00884CA0" w:rsidP="008446DF">
      <w:pPr>
        <w:spacing w:line="276" w:lineRule="auto"/>
        <w:jc w:val="both"/>
        <w:rPr>
          <w:sz w:val="24"/>
          <w:szCs w:val="22"/>
          <w:lang w:val="en-US"/>
        </w:rPr>
      </w:pPr>
      <w:bookmarkStart w:id="17" w:name="_Toc447096844"/>
      <w:r w:rsidRPr="008446DF">
        <w:rPr>
          <w:rStyle w:val="Heading1Char"/>
          <w:rFonts w:eastAsia="MS Mincho"/>
          <w:b w:val="0"/>
          <w:bCs w:val="0"/>
          <w:color w:val="auto"/>
          <w:sz w:val="24"/>
          <w:szCs w:val="22"/>
        </w:rPr>
        <w:t xml:space="preserve">KSTE:  Knowledge </w:t>
      </w:r>
      <w:proofErr w:type="spellStart"/>
      <w:r w:rsidRPr="008446DF">
        <w:rPr>
          <w:rStyle w:val="Heading1Char"/>
          <w:rFonts w:eastAsia="MS Mincho"/>
          <w:b w:val="0"/>
          <w:bCs w:val="0"/>
          <w:color w:val="auto"/>
          <w:sz w:val="24"/>
          <w:szCs w:val="22"/>
        </w:rPr>
        <w:t>Spillover</w:t>
      </w:r>
      <w:proofErr w:type="spellEnd"/>
      <w:r w:rsidRPr="008446DF">
        <w:rPr>
          <w:rStyle w:val="Heading1Char"/>
          <w:rFonts w:eastAsia="MS Mincho"/>
          <w:b w:val="0"/>
          <w:bCs w:val="0"/>
          <w:color w:val="auto"/>
          <w:sz w:val="24"/>
          <w:szCs w:val="22"/>
        </w:rPr>
        <w:t xml:space="preserve"> Theory of Entrepreneurship</w:t>
      </w:r>
      <w:bookmarkEnd w:id="17"/>
      <w:r w:rsidRPr="008446DF">
        <w:rPr>
          <w:rStyle w:val="Heading1Char"/>
          <w:rFonts w:eastAsia="MS Mincho"/>
          <w:b w:val="0"/>
          <w:bCs w:val="0"/>
          <w:color w:val="auto"/>
          <w:sz w:val="24"/>
          <w:szCs w:val="22"/>
        </w:rPr>
        <w:t xml:space="preserve"> </w:t>
      </w:r>
    </w:p>
    <w:p w14:paraId="75CD4608" w14:textId="77777777" w:rsidR="009B41EB" w:rsidRPr="006F1E2B" w:rsidRDefault="009B41EB" w:rsidP="0060328A">
      <w:pPr>
        <w:spacing w:line="276" w:lineRule="auto"/>
        <w:jc w:val="both"/>
        <w:rPr>
          <w:rStyle w:val="Heading1Char"/>
          <w:lang w:val="en-US"/>
        </w:rPr>
      </w:pPr>
    </w:p>
    <w:p w14:paraId="5F048B3A" w14:textId="77777777" w:rsidR="009B41EB" w:rsidRPr="006F1E2B" w:rsidRDefault="009B41EB" w:rsidP="0060328A">
      <w:pPr>
        <w:spacing w:line="276" w:lineRule="auto"/>
        <w:jc w:val="both"/>
        <w:rPr>
          <w:rStyle w:val="Heading1Char"/>
          <w:lang w:val="en-US"/>
        </w:rPr>
      </w:pPr>
    </w:p>
    <w:p w14:paraId="4C5E26AE" w14:textId="77777777" w:rsidR="009B41EB" w:rsidRPr="006F1E2B" w:rsidRDefault="009B41EB" w:rsidP="0060328A">
      <w:pPr>
        <w:spacing w:line="276" w:lineRule="auto"/>
        <w:jc w:val="both"/>
        <w:rPr>
          <w:rStyle w:val="Heading1Char"/>
          <w:lang w:val="en-US"/>
        </w:rPr>
      </w:pPr>
    </w:p>
    <w:p w14:paraId="52FECFA8" w14:textId="77777777" w:rsidR="009B41EB" w:rsidRPr="006F1E2B" w:rsidRDefault="009B41EB" w:rsidP="0060328A">
      <w:pPr>
        <w:spacing w:line="276" w:lineRule="auto"/>
        <w:jc w:val="both"/>
        <w:rPr>
          <w:rStyle w:val="Heading1Char"/>
          <w:lang w:val="en-US"/>
        </w:rPr>
      </w:pPr>
    </w:p>
    <w:p w14:paraId="14712FD5" w14:textId="690BEF4C" w:rsidR="009B41EB" w:rsidRPr="006F1E2B" w:rsidRDefault="00507863" w:rsidP="0060328A">
      <w:pPr>
        <w:spacing w:line="276" w:lineRule="auto"/>
        <w:jc w:val="both"/>
        <w:rPr>
          <w:rStyle w:val="Heading1Char"/>
          <w:lang w:val="en-US"/>
        </w:rPr>
      </w:pPr>
      <w:r>
        <w:rPr>
          <w:rStyle w:val="Heading1Char"/>
          <w:lang w:val="en-US"/>
        </w:rPr>
        <w:t xml:space="preserve"> </w:t>
      </w:r>
    </w:p>
    <w:p w14:paraId="5544C303" w14:textId="77777777" w:rsidR="009B41EB" w:rsidRPr="006F1E2B" w:rsidRDefault="009B41EB" w:rsidP="0060328A">
      <w:pPr>
        <w:spacing w:line="276" w:lineRule="auto"/>
        <w:jc w:val="both"/>
        <w:rPr>
          <w:rStyle w:val="Heading1Char"/>
          <w:lang w:val="en-US"/>
        </w:rPr>
      </w:pPr>
    </w:p>
    <w:p w14:paraId="72D127EE" w14:textId="77777777" w:rsidR="00741CEC" w:rsidRPr="006F1E2B" w:rsidRDefault="00741CEC" w:rsidP="0060328A">
      <w:pPr>
        <w:spacing w:line="276" w:lineRule="auto"/>
        <w:jc w:val="both"/>
        <w:rPr>
          <w:rStyle w:val="Heading1Char"/>
          <w:lang w:val="en-US"/>
        </w:rPr>
      </w:pPr>
    </w:p>
    <w:p w14:paraId="5CF5D3F0" w14:textId="77777777" w:rsidR="00741CEC" w:rsidRPr="006F1E2B" w:rsidRDefault="00741CEC" w:rsidP="0060328A">
      <w:pPr>
        <w:spacing w:line="276" w:lineRule="auto"/>
        <w:jc w:val="both"/>
        <w:rPr>
          <w:rStyle w:val="Heading1Char"/>
          <w:lang w:val="en-US"/>
        </w:rPr>
      </w:pPr>
    </w:p>
    <w:p w14:paraId="4041BDB9" w14:textId="77777777" w:rsidR="00390370" w:rsidRDefault="00390370" w:rsidP="0060328A">
      <w:pPr>
        <w:spacing w:line="276" w:lineRule="auto"/>
        <w:jc w:val="both"/>
        <w:rPr>
          <w:rFonts w:eastAsia="MS Gothic"/>
          <w:b/>
          <w:bCs/>
          <w:color w:val="003399"/>
          <w:sz w:val="36"/>
          <w:szCs w:val="28"/>
          <w:lang w:val="en-US"/>
        </w:rPr>
      </w:pPr>
      <w:bookmarkStart w:id="18" w:name="_Toc303834458"/>
      <w:r>
        <w:rPr>
          <w:lang w:val="en-US"/>
        </w:rPr>
        <w:br w:type="page"/>
      </w:r>
    </w:p>
    <w:p w14:paraId="7D6B4D17" w14:textId="095941E6" w:rsidR="00741CEC" w:rsidRPr="008915CA" w:rsidRDefault="00B32377" w:rsidP="0060328A">
      <w:pPr>
        <w:pStyle w:val="Heading1"/>
        <w:spacing w:line="276" w:lineRule="auto"/>
        <w:jc w:val="both"/>
        <w:rPr>
          <w:lang w:val="en-US"/>
        </w:rPr>
      </w:pPr>
      <w:bookmarkStart w:id="19" w:name="_Toc447096845"/>
      <w:r w:rsidRPr="008915CA">
        <w:rPr>
          <w:lang w:val="en-US"/>
        </w:rPr>
        <w:lastRenderedPageBreak/>
        <w:t xml:space="preserve">1. </w:t>
      </w:r>
      <w:r w:rsidR="008915CA" w:rsidRPr="008915CA">
        <w:rPr>
          <w:lang w:val="en-US"/>
        </w:rPr>
        <w:t>Executive summary</w:t>
      </w:r>
      <w:bookmarkEnd w:id="18"/>
      <w:bookmarkEnd w:id="19"/>
    </w:p>
    <w:p w14:paraId="7AAE0B14" w14:textId="44236095" w:rsidR="00AB002E" w:rsidRDefault="00F73C1F" w:rsidP="0060328A">
      <w:pPr>
        <w:spacing w:line="276" w:lineRule="auto"/>
        <w:jc w:val="both"/>
        <w:rPr>
          <w:rFonts w:cstheme="minorHAnsi"/>
          <w:sz w:val="24"/>
          <w:szCs w:val="24"/>
        </w:rPr>
      </w:pPr>
      <w:r w:rsidRPr="0060328A">
        <w:rPr>
          <w:rFonts w:cstheme="minorHAnsi"/>
          <w:sz w:val="24"/>
          <w:szCs w:val="24"/>
        </w:rPr>
        <w:t>R</w:t>
      </w:r>
      <w:r>
        <w:rPr>
          <w:rFonts w:cstheme="minorHAnsi"/>
          <w:sz w:val="24"/>
          <w:szCs w:val="24"/>
        </w:rPr>
        <w:t xml:space="preserve">esearch on entrepreneurship is mainly focused on the individual and research on innovation has been mainly focused on institutions even though we know that both agency and context matter. To better integrate the two approaches </w:t>
      </w:r>
      <w:r w:rsidR="00206AE7">
        <w:rPr>
          <w:rFonts w:cstheme="minorHAnsi"/>
          <w:sz w:val="24"/>
          <w:szCs w:val="24"/>
        </w:rPr>
        <w:t>we</w:t>
      </w:r>
      <w:r>
        <w:rPr>
          <w:rFonts w:cstheme="minorHAnsi"/>
          <w:sz w:val="24"/>
          <w:szCs w:val="24"/>
        </w:rPr>
        <w:t xml:space="preserve"> introduce the National Systems of Entrepreneurship (NSE) as a framework for a resource allocation system driven by individual-level opportunity pursuit through the creation of new ventures and its outcomes regulated by country-specific institutional characteristics. </w:t>
      </w:r>
    </w:p>
    <w:p w14:paraId="689AAF6D" w14:textId="1C3D0C8C" w:rsidR="00AB002E" w:rsidRDefault="00AB002E" w:rsidP="0060328A">
      <w:pPr>
        <w:spacing w:line="276" w:lineRule="auto"/>
        <w:ind w:firstLine="708"/>
        <w:jc w:val="both"/>
        <w:rPr>
          <w:rFonts w:cstheme="minorHAnsi"/>
          <w:sz w:val="24"/>
          <w:szCs w:val="24"/>
        </w:rPr>
      </w:pPr>
      <w:r>
        <w:rPr>
          <w:rFonts w:cstheme="minorHAnsi"/>
          <w:sz w:val="24"/>
          <w:szCs w:val="24"/>
        </w:rPr>
        <w:t xml:space="preserve">NSE relies on integrating both framework conditions and agency into a system. The structure is composed of 14 pillars, 3 sub-indices and a super index. The first index focuses on opportunity at the economy level. The second index focuses on the actions taken by the agent and the abilities of the agent. The third sub index focuses on the aspirations of the agent to create organizations that both are scalable and create wealth. </w:t>
      </w:r>
    </w:p>
    <w:p w14:paraId="0015AC57" w14:textId="7F17412E" w:rsidR="00EE0363" w:rsidRDefault="00206AE7" w:rsidP="0060328A">
      <w:pPr>
        <w:spacing w:line="276" w:lineRule="auto"/>
        <w:ind w:firstLine="708"/>
        <w:jc w:val="both"/>
        <w:rPr>
          <w:rFonts w:cstheme="minorHAnsi"/>
          <w:sz w:val="24"/>
          <w:szCs w:val="24"/>
        </w:rPr>
      </w:pPr>
      <w:r>
        <w:rPr>
          <w:rFonts w:cstheme="minorHAnsi"/>
          <w:sz w:val="24"/>
          <w:szCs w:val="24"/>
        </w:rPr>
        <w:t xml:space="preserve">The NSE approach is an important tool for policy makers to identify weaknesses in </w:t>
      </w:r>
      <w:r w:rsidR="00333C5C">
        <w:rPr>
          <w:rFonts w:cstheme="minorHAnsi"/>
          <w:sz w:val="24"/>
          <w:szCs w:val="24"/>
        </w:rPr>
        <w:t>t</w:t>
      </w:r>
      <w:r>
        <w:rPr>
          <w:rFonts w:cstheme="minorHAnsi"/>
          <w:sz w:val="24"/>
          <w:szCs w:val="24"/>
        </w:rPr>
        <w:t xml:space="preserve">he </w:t>
      </w:r>
      <w:r w:rsidR="00333C5C">
        <w:rPr>
          <w:rFonts w:cstheme="minorHAnsi"/>
          <w:sz w:val="24"/>
          <w:szCs w:val="24"/>
        </w:rPr>
        <w:t xml:space="preserve">entrepreneurial </w:t>
      </w:r>
      <w:r>
        <w:rPr>
          <w:rFonts w:cstheme="minorHAnsi"/>
          <w:sz w:val="24"/>
          <w:szCs w:val="24"/>
        </w:rPr>
        <w:t xml:space="preserve">ecosystem. Because </w:t>
      </w:r>
      <w:r w:rsidR="00333C5C">
        <w:rPr>
          <w:rFonts w:cstheme="minorHAnsi"/>
          <w:sz w:val="24"/>
          <w:szCs w:val="24"/>
        </w:rPr>
        <w:t>entrepreneurial</w:t>
      </w:r>
      <w:r>
        <w:rPr>
          <w:rFonts w:cstheme="minorHAnsi"/>
          <w:sz w:val="24"/>
          <w:szCs w:val="24"/>
        </w:rPr>
        <w:t xml:space="preserve"> ecosystem </w:t>
      </w:r>
      <w:r w:rsidR="00333C5C">
        <w:rPr>
          <w:rFonts w:cstheme="minorHAnsi"/>
          <w:sz w:val="24"/>
          <w:szCs w:val="24"/>
        </w:rPr>
        <w:t>services</w:t>
      </w:r>
      <w:r>
        <w:rPr>
          <w:rFonts w:cstheme="minorHAnsi"/>
          <w:sz w:val="24"/>
          <w:szCs w:val="24"/>
        </w:rPr>
        <w:t xml:space="preserve"> created through a myriad of localised </w:t>
      </w:r>
      <w:r w:rsidR="00333C5C">
        <w:rPr>
          <w:rFonts w:cstheme="minorHAnsi"/>
          <w:sz w:val="24"/>
          <w:szCs w:val="24"/>
        </w:rPr>
        <w:t>interactions</w:t>
      </w:r>
      <w:r>
        <w:rPr>
          <w:rFonts w:cstheme="minorHAnsi"/>
          <w:sz w:val="24"/>
          <w:szCs w:val="24"/>
        </w:rPr>
        <w:t xml:space="preserve"> between ecosystem stakeholders, it is not easy to trace gaps in ecosystem performance back to specific, well-defined market failures that are addressed in top down modes.   </w:t>
      </w:r>
      <w:r w:rsidR="00B75EF8">
        <w:rPr>
          <w:rFonts w:cstheme="minorHAnsi"/>
          <w:sz w:val="24"/>
          <w:szCs w:val="24"/>
        </w:rPr>
        <w:t>Earlier versions of NSE left out i</w:t>
      </w:r>
      <w:r w:rsidR="00333C5C">
        <w:rPr>
          <w:rFonts w:cstheme="minorHAnsi"/>
          <w:sz w:val="24"/>
          <w:szCs w:val="24"/>
        </w:rPr>
        <w:t xml:space="preserve">mportant topics like </w:t>
      </w:r>
      <w:r w:rsidR="003C7978">
        <w:rPr>
          <w:rFonts w:cstheme="minorHAnsi"/>
          <w:sz w:val="24"/>
          <w:szCs w:val="24"/>
        </w:rPr>
        <w:t>F</w:t>
      </w:r>
      <w:r w:rsidR="00AB002E">
        <w:rPr>
          <w:rFonts w:cstheme="minorHAnsi"/>
          <w:sz w:val="24"/>
          <w:szCs w:val="24"/>
        </w:rPr>
        <w:t>inance</w:t>
      </w:r>
      <w:r w:rsidR="002A7E18">
        <w:rPr>
          <w:rFonts w:cstheme="minorHAnsi"/>
          <w:sz w:val="24"/>
          <w:szCs w:val="24"/>
        </w:rPr>
        <w:t>,</w:t>
      </w:r>
      <w:r w:rsidR="00AB002E">
        <w:rPr>
          <w:rFonts w:cstheme="minorHAnsi"/>
          <w:sz w:val="24"/>
          <w:szCs w:val="24"/>
        </w:rPr>
        <w:t xml:space="preserve"> </w:t>
      </w:r>
      <w:r w:rsidR="00884CA0">
        <w:rPr>
          <w:rFonts w:cstheme="minorHAnsi"/>
          <w:sz w:val="24"/>
          <w:szCs w:val="24"/>
        </w:rPr>
        <w:t xml:space="preserve">Taxes, </w:t>
      </w:r>
      <w:r w:rsidR="00AB002E">
        <w:rPr>
          <w:rFonts w:cstheme="minorHAnsi"/>
          <w:sz w:val="24"/>
          <w:szCs w:val="24"/>
        </w:rPr>
        <w:t>Labo</w:t>
      </w:r>
      <w:r w:rsidR="002A7E18">
        <w:rPr>
          <w:rFonts w:cstheme="minorHAnsi"/>
          <w:sz w:val="24"/>
          <w:szCs w:val="24"/>
        </w:rPr>
        <w:t>u</w:t>
      </w:r>
      <w:r w:rsidR="00AB002E">
        <w:rPr>
          <w:rFonts w:cstheme="minorHAnsi"/>
          <w:sz w:val="24"/>
          <w:szCs w:val="24"/>
        </w:rPr>
        <w:t>r</w:t>
      </w:r>
      <w:r w:rsidR="002A7E18">
        <w:rPr>
          <w:rFonts w:cstheme="minorHAnsi"/>
          <w:sz w:val="24"/>
          <w:szCs w:val="24"/>
        </w:rPr>
        <w:t xml:space="preserve"> </w:t>
      </w:r>
      <w:r w:rsidR="003C7978">
        <w:rPr>
          <w:rFonts w:cstheme="minorHAnsi"/>
          <w:sz w:val="24"/>
          <w:szCs w:val="24"/>
        </w:rPr>
        <w:t>M</w:t>
      </w:r>
      <w:r w:rsidR="002A7E18">
        <w:rPr>
          <w:rFonts w:cstheme="minorHAnsi"/>
          <w:sz w:val="24"/>
          <w:szCs w:val="24"/>
        </w:rPr>
        <w:t xml:space="preserve">arkets and </w:t>
      </w:r>
      <w:r w:rsidR="00AB002E">
        <w:rPr>
          <w:rFonts w:cstheme="minorHAnsi"/>
          <w:sz w:val="24"/>
          <w:szCs w:val="24"/>
        </w:rPr>
        <w:t>Knowl</w:t>
      </w:r>
      <w:r w:rsidR="002A7E18">
        <w:rPr>
          <w:rFonts w:cstheme="minorHAnsi"/>
          <w:sz w:val="24"/>
          <w:szCs w:val="24"/>
        </w:rPr>
        <w:t>e</w:t>
      </w:r>
      <w:r w:rsidR="00AB002E">
        <w:rPr>
          <w:rFonts w:cstheme="minorHAnsi"/>
          <w:sz w:val="24"/>
          <w:szCs w:val="24"/>
        </w:rPr>
        <w:t>dge Institutions</w:t>
      </w:r>
      <w:r w:rsidR="00333C5C">
        <w:rPr>
          <w:rFonts w:cstheme="minorHAnsi"/>
          <w:sz w:val="24"/>
          <w:szCs w:val="24"/>
        </w:rPr>
        <w:t xml:space="preserve"> </w:t>
      </w:r>
      <w:r w:rsidR="00E579EC">
        <w:rPr>
          <w:rFonts w:cstheme="minorHAnsi"/>
          <w:sz w:val="24"/>
          <w:szCs w:val="24"/>
        </w:rPr>
        <w:t>because of data limitations</w:t>
      </w:r>
      <w:r w:rsidR="00333C5C">
        <w:rPr>
          <w:rFonts w:cstheme="minorHAnsi"/>
          <w:sz w:val="24"/>
          <w:szCs w:val="24"/>
        </w:rPr>
        <w:t xml:space="preserve">. This paper will address how to include </w:t>
      </w:r>
      <w:r w:rsidR="00E579EC">
        <w:rPr>
          <w:rFonts w:cstheme="minorHAnsi"/>
          <w:sz w:val="24"/>
          <w:szCs w:val="24"/>
        </w:rPr>
        <w:t>taxes, labour markets and knowledge institutions</w:t>
      </w:r>
      <w:r w:rsidR="00333C5C">
        <w:rPr>
          <w:rFonts w:cstheme="minorHAnsi"/>
          <w:sz w:val="24"/>
          <w:szCs w:val="24"/>
        </w:rPr>
        <w:t xml:space="preserve"> in NSE. </w:t>
      </w:r>
      <w:r w:rsidR="003C7978">
        <w:rPr>
          <w:rFonts w:cstheme="minorHAnsi"/>
          <w:sz w:val="24"/>
          <w:szCs w:val="24"/>
        </w:rPr>
        <w:t>Since we are only looking at EU countries a richer set of data exists to explore these avenues in the ecosystem.</w:t>
      </w:r>
      <w:r w:rsidR="00DC466D" w:rsidRPr="00DC466D">
        <w:rPr>
          <w:rFonts w:cstheme="minorHAnsi"/>
          <w:sz w:val="24"/>
          <w:szCs w:val="24"/>
        </w:rPr>
        <w:t xml:space="preserve"> </w:t>
      </w:r>
    </w:p>
    <w:p w14:paraId="3A2C86DC" w14:textId="77777777" w:rsidR="00EE0363" w:rsidRDefault="00EE0363">
      <w:pPr>
        <w:spacing w:line="240" w:lineRule="auto"/>
        <w:rPr>
          <w:rFonts w:cstheme="minorHAnsi"/>
          <w:sz w:val="24"/>
          <w:szCs w:val="24"/>
        </w:rPr>
      </w:pPr>
      <w:r>
        <w:rPr>
          <w:rFonts w:cstheme="minorHAnsi"/>
          <w:sz w:val="24"/>
          <w:szCs w:val="24"/>
        </w:rPr>
        <w:br w:type="page"/>
      </w:r>
    </w:p>
    <w:p w14:paraId="2E048671" w14:textId="74D4DA82" w:rsidR="003C7978" w:rsidRPr="003C7978" w:rsidRDefault="008915CA" w:rsidP="0060328A">
      <w:pPr>
        <w:pStyle w:val="Heading1"/>
        <w:spacing w:line="276" w:lineRule="auto"/>
        <w:jc w:val="both"/>
      </w:pPr>
      <w:bookmarkStart w:id="20" w:name="_Toc303834459"/>
      <w:bookmarkStart w:id="21" w:name="_Toc447096846"/>
      <w:r w:rsidRPr="008915CA">
        <w:lastRenderedPageBreak/>
        <w:t>2.</w:t>
      </w:r>
      <w:bookmarkEnd w:id="20"/>
      <w:r w:rsidR="003C7978">
        <w:t xml:space="preserve"> Introduction</w:t>
      </w:r>
      <w:bookmarkEnd w:id="21"/>
    </w:p>
    <w:p w14:paraId="7EA66BCC" w14:textId="67CE8938" w:rsidR="003C7978" w:rsidRDefault="003C7978" w:rsidP="0060328A">
      <w:pPr>
        <w:spacing w:line="276" w:lineRule="auto"/>
        <w:jc w:val="both"/>
        <w:rPr>
          <w:rFonts w:cstheme="minorHAnsi"/>
          <w:sz w:val="24"/>
          <w:szCs w:val="24"/>
        </w:rPr>
      </w:pPr>
      <w:r>
        <w:rPr>
          <w:rFonts w:cstheme="minorHAnsi"/>
          <w:sz w:val="24"/>
          <w:szCs w:val="24"/>
        </w:rPr>
        <w:t>T</w:t>
      </w:r>
      <w:r w:rsidRPr="00606F1F">
        <w:rPr>
          <w:rFonts w:cstheme="minorHAnsi"/>
          <w:sz w:val="24"/>
          <w:szCs w:val="24"/>
        </w:rPr>
        <w:t xml:space="preserve">he central questions in the scholarly field of entrepreneurship </w:t>
      </w:r>
      <w:r>
        <w:rPr>
          <w:rFonts w:cstheme="minorHAnsi"/>
          <w:sz w:val="24"/>
          <w:szCs w:val="24"/>
        </w:rPr>
        <w:t>are</w:t>
      </w:r>
      <w:r w:rsidRPr="00606F1F">
        <w:rPr>
          <w:rFonts w:cstheme="minorHAnsi"/>
          <w:sz w:val="24"/>
          <w:szCs w:val="24"/>
        </w:rPr>
        <w:t xml:space="preserve"> </w:t>
      </w:r>
      <w:r>
        <w:rPr>
          <w:rFonts w:cstheme="minorHAnsi"/>
          <w:sz w:val="24"/>
          <w:szCs w:val="24"/>
        </w:rPr>
        <w:t xml:space="preserve">addressing (1) </w:t>
      </w:r>
      <w:r w:rsidRPr="00606F1F">
        <w:rPr>
          <w:rFonts w:cstheme="minorHAnsi"/>
          <w:sz w:val="24"/>
          <w:szCs w:val="24"/>
        </w:rPr>
        <w:t>why an individual chooses to become an entrepreneur while others do not</w:t>
      </w:r>
      <w:r>
        <w:rPr>
          <w:rFonts w:cstheme="minorHAnsi"/>
          <w:sz w:val="24"/>
          <w:szCs w:val="24"/>
        </w:rPr>
        <w:t xml:space="preserve"> and (2) why entrepreneurial activities differ across countries. While academic research</w:t>
      </w:r>
      <w:r w:rsidRPr="00606F1F">
        <w:rPr>
          <w:rFonts w:cstheme="minorHAnsi"/>
          <w:sz w:val="24"/>
          <w:szCs w:val="24"/>
        </w:rPr>
        <w:t xml:space="preserve"> has </w:t>
      </w:r>
      <w:r>
        <w:rPr>
          <w:rFonts w:cstheme="minorHAnsi"/>
          <w:sz w:val="24"/>
          <w:szCs w:val="24"/>
        </w:rPr>
        <w:t xml:space="preserve">mostly </w:t>
      </w:r>
      <w:r w:rsidRPr="00606F1F">
        <w:rPr>
          <w:rFonts w:cstheme="minorHAnsi"/>
          <w:sz w:val="24"/>
          <w:szCs w:val="24"/>
        </w:rPr>
        <w:t xml:space="preserve">focused on characteristic variation across </w:t>
      </w:r>
      <w:r w:rsidRPr="00C313D6">
        <w:rPr>
          <w:rFonts w:cstheme="minorHAnsi"/>
          <w:sz w:val="24"/>
          <w:szCs w:val="24"/>
        </w:rPr>
        <w:t>individuals</w:t>
      </w:r>
      <w:r>
        <w:rPr>
          <w:rFonts w:cstheme="minorHAnsi"/>
          <w:sz w:val="24"/>
          <w:szCs w:val="24"/>
        </w:rPr>
        <w:t xml:space="preserve"> there is </w:t>
      </w:r>
      <w:r w:rsidR="009F4ECA">
        <w:rPr>
          <w:rFonts w:cstheme="minorHAnsi"/>
          <w:sz w:val="24"/>
          <w:szCs w:val="24"/>
        </w:rPr>
        <w:t>much less</w:t>
      </w:r>
      <w:r>
        <w:rPr>
          <w:rFonts w:cstheme="minorHAnsi"/>
          <w:sz w:val="24"/>
          <w:szCs w:val="24"/>
        </w:rPr>
        <w:t xml:space="preserve"> evidence about measurement of entrepreneurship at the country level. Entrepreneurship is without doubt important for economic development (Schumpeter, 1934), but there is still relatively little agreement “on what entrepreneurship fundamentally means as a country-level phenomenon” (Acs, </w:t>
      </w:r>
      <w:proofErr w:type="spellStart"/>
      <w:r>
        <w:rPr>
          <w:rFonts w:cstheme="minorHAnsi"/>
          <w:sz w:val="24"/>
          <w:szCs w:val="24"/>
        </w:rPr>
        <w:t>Autio</w:t>
      </w:r>
      <w:proofErr w:type="spellEnd"/>
      <w:r>
        <w:rPr>
          <w:rFonts w:cstheme="minorHAnsi"/>
          <w:sz w:val="24"/>
          <w:szCs w:val="24"/>
        </w:rPr>
        <w:t xml:space="preserve">, &amp; </w:t>
      </w:r>
      <w:proofErr w:type="spellStart"/>
      <w:r>
        <w:rPr>
          <w:rFonts w:cstheme="minorHAnsi"/>
          <w:sz w:val="24"/>
          <w:szCs w:val="24"/>
        </w:rPr>
        <w:t>Szerb</w:t>
      </w:r>
      <w:proofErr w:type="spellEnd"/>
      <w:r>
        <w:rPr>
          <w:rFonts w:cstheme="minorHAnsi"/>
          <w:sz w:val="24"/>
          <w:szCs w:val="24"/>
        </w:rPr>
        <w:t xml:space="preserve">, 2014, p. 477). </w:t>
      </w:r>
    </w:p>
    <w:p w14:paraId="51826DA4" w14:textId="17FD687B" w:rsidR="003C7978" w:rsidRDefault="009F4ECA" w:rsidP="0060328A">
      <w:pPr>
        <w:spacing w:line="276" w:lineRule="auto"/>
        <w:ind w:firstLine="720"/>
        <w:jc w:val="both"/>
        <w:rPr>
          <w:rFonts w:cstheme="minorHAnsi"/>
          <w:sz w:val="24"/>
          <w:szCs w:val="24"/>
        </w:rPr>
      </w:pPr>
      <w:r w:rsidRPr="009C1ABE">
        <w:rPr>
          <w:rFonts w:cstheme="minorHAnsi"/>
          <w:sz w:val="24"/>
          <w:szCs w:val="24"/>
        </w:rPr>
        <w:t>Recognizing the literature on entrepreneurial activism and performance reveals that most of the findings have been presented as though they are general and valid across countries.</w:t>
      </w:r>
      <w:r>
        <w:rPr>
          <w:rFonts w:cstheme="minorHAnsi"/>
          <w:sz w:val="24"/>
          <w:szCs w:val="24"/>
        </w:rPr>
        <w:t xml:space="preserve"> E</w:t>
      </w:r>
      <w:r w:rsidR="003C7978">
        <w:rPr>
          <w:rFonts w:cstheme="minorHAnsi"/>
          <w:sz w:val="24"/>
          <w:szCs w:val="24"/>
        </w:rPr>
        <w:t>vidence on the country level</w:t>
      </w:r>
      <w:r>
        <w:rPr>
          <w:rFonts w:cstheme="minorHAnsi"/>
          <w:sz w:val="24"/>
          <w:szCs w:val="24"/>
        </w:rPr>
        <w:t>, however,</w:t>
      </w:r>
      <w:r w:rsidR="003C7978">
        <w:rPr>
          <w:rFonts w:cstheme="minorHAnsi"/>
          <w:sz w:val="24"/>
          <w:szCs w:val="24"/>
        </w:rPr>
        <w:t xml:space="preserve"> is still </w:t>
      </w:r>
      <w:r>
        <w:rPr>
          <w:rFonts w:cstheme="minorHAnsi"/>
          <w:sz w:val="24"/>
          <w:szCs w:val="24"/>
        </w:rPr>
        <w:t xml:space="preserve">largely </w:t>
      </w:r>
      <w:r w:rsidR="003C7978">
        <w:rPr>
          <w:rFonts w:cstheme="minorHAnsi"/>
          <w:sz w:val="24"/>
          <w:szCs w:val="24"/>
        </w:rPr>
        <w:t xml:space="preserve">missing and </w:t>
      </w:r>
      <w:r w:rsidR="003C7978" w:rsidRPr="003261FF">
        <w:rPr>
          <w:rFonts w:cstheme="minorHAnsi"/>
          <w:sz w:val="24"/>
          <w:szCs w:val="24"/>
        </w:rPr>
        <w:t>a number of crucial que</w:t>
      </w:r>
      <w:r w:rsidR="003C7978">
        <w:rPr>
          <w:rFonts w:cstheme="minorHAnsi"/>
          <w:sz w:val="24"/>
          <w:szCs w:val="24"/>
        </w:rPr>
        <w:t>s</w:t>
      </w:r>
      <w:r w:rsidR="003C7978" w:rsidRPr="003261FF">
        <w:rPr>
          <w:rFonts w:cstheme="minorHAnsi"/>
          <w:sz w:val="24"/>
          <w:szCs w:val="24"/>
        </w:rPr>
        <w:t xml:space="preserve">tions and answers remain unanswered. </w:t>
      </w:r>
      <w:r w:rsidR="003C7978" w:rsidRPr="009C1ABE">
        <w:rPr>
          <w:rFonts w:cstheme="minorHAnsi"/>
          <w:sz w:val="24"/>
          <w:szCs w:val="24"/>
        </w:rPr>
        <w:t>Countries cover a range of different institutional settings, formal and informal, different cultures, norms and values and attitudes toward entrepreneurship that effects entrepreneurial performance</w:t>
      </w:r>
      <w:r w:rsidR="003C7978" w:rsidRPr="009D3965">
        <w:rPr>
          <w:rFonts w:cstheme="minorHAnsi"/>
          <w:sz w:val="24"/>
          <w:szCs w:val="24"/>
        </w:rPr>
        <w:t xml:space="preserve"> </w:t>
      </w:r>
      <w:r w:rsidR="003C7978">
        <w:rPr>
          <w:rFonts w:cstheme="minorHAnsi"/>
          <w:sz w:val="24"/>
          <w:szCs w:val="24"/>
        </w:rPr>
        <w:t>(</w:t>
      </w:r>
      <w:proofErr w:type="spellStart"/>
      <w:r w:rsidR="003C7978">
        <w:rPr>
          <w:rFonts w:cstheme="minorHAnsi"/>
          <w:sz w:val="24"/>
          <w:szCs w:val="24"/>
        </w:rPr>
        <w:t>Autio</w:t>
      </w:r>
      <w:proofErr w:type="spellEnd"/>
      <w:r w:rsidR="003C7978">
        <w:rPr>
          <w:rFonts w:cstheme="minorHAnsi"/>
          <w:sz w:val="24"/>
          <w:szCs w:val="24"/>
        </w:rPr>
        <w:t xml:space="preserve"> et al 2015).</w:t>
      </w:r>
    </w:p>
    <w:p w14:paraId="13B50213" w14:textId="67E57420" w:rsidR="003C7978" w:rsidRPr="009C1ABE" w:rsidRDefault="003C7978" w:rsidP="0060328A">
      <w:pPr>
        <w:spacing w:line="276" w:lineRule="auto"/>
        <w:ind w:firstLine="720"/>
        <w:jc w:val="both"/>
        <w:rPr>
          <w:rFonts w:cstheme="minorHAnsi"/>
          <w:sz w:val="24"/>
          <w:szCs w:val="24"/>
        </w:rPr>
      </w:pPr>
      <w:r>
        <w:rPr>
          <w:rFonts w:cstheme="minorHAnsi"/>
          <w:sz w:val="24"/>
          <w:szCs w:val="24"/>
        </w:rPr>
        <w:t xml:space="preserve">To better understand entrepreneurship at the national level Acs, </w:t>
      </w:r>
      <w:proofErr w:type="spellStart"/>
      <w:r>
        <w:rPr>
          <w:rFonts w:cstheme="minorHAnsi"/>
          <w:sz w:val="24"/>
          <w:szCs w:val="24"/>
        </w:rPr>
        <w:t>Autio</w:t>
      </w:r>
      <w:proofErr w:type="spellEnd"/>
      <w:r>
        <w:rPr>
          <w:rFonts w:cstheme="minorHAnsi"/>
          <w:sz w:val="24"/>
          <w:szCs w:val="24"/>
        </w:rPr>
        <w:t xml:space="preserve"> and </w:t>
      </w:r>
      <w:proofErr w:type="spellStart"/>
      <w:r>
        <w:rPr>
          <w:rFonts w:cstheme="minorHAnsi"/>
          <w:sz w:val="24"/>
          <w:szCs w:val="24"/>
        </w:rPr>
        <w:t>Szerb</w:t>
      </w:r>
      <w:proofErr w:type="spellEnd"/>
      <w:r>
        <w:rPr>
          <w:rFonts w:cstheme="minorHAnsi"/>
          <w:sz w:val="24"/>
          <w:szCs w:val="24"/>
        </w:rPr>
        <w:t xml:space="preserve"> (2014) introduced National Systems of Entrepreneurship (NSE) as a framework for a resource allocation system driven by individual-level opportunity pursuit through the creation of new ventures and its outcomes</w:t>
      </w:r>
      <w:r w:rsidR="009F4ECA">
        <w:rPr>
          <w:rFonts w:cstheme="minorHAnsi"/>
          <w:sz w:val="24"/>
          <w:szCs w:val="24"/>
        </w:rPr>
        <w:t>,</w:t>
      </w:r>
      <w:r>
        <w:rPr>
          <w:rFonts w:cstheme="minorHAnsi"/>
          <w:sz w:val="24"/>
          <w:szCs w:val="24"/>
        </w:rPr>
        <w:t xml:space="preserve"> regulated by country-specific institutional characteristics. </w:t>
      </w:r>
      <w:r w:rsidR="00414AFB">
        <w:rPr>
          <w:rStyle w:val="FootnoteReference"/>
          <w:rFonts w:cstheme="minorHAnsi"/>
          <w:sz w:val="24"/>
          <w:szCs w:val="24"/>
        </w:rPr>
        <w:footnoteReference w:id="1"/>
      </w:r>
      <w:r>
        <w:rPr>
          <w:rFonts w:cstheme="minorHAnsi"/>
          <w:sz w:val="24"/>
          <w:szCs w:val="24"/>
        </w:rPr>
        <w:t xml:space="preserve">They argued that entrepreneurship scholars </w:t>
      </w:r>
      <w:r w:rsidRPr="009C1ABE">
        <w:rPr>
          <w:rFonts w:cstheme="minorHAnsi"/>
          <w:sz w:val="24"/>
          <w:szCs w:val="24"/>
        </w:rPr>
        <w:t xml:space="preserve">have focused myopically on the individual and tended to ignore the regulating effect of context on individual action. The majority of the trade-offs and opportunity costs faced by entrepreneurs are regulated by context – for example national policies, resource distribution mechanisms, market access, social norms, and so on. </w:t>
      </w:r>
      <w:r w:rsidR="00333C5C">
        <w:rPr>
          <w:rFonts w:cstheme="minorHAnsi"/>
          <w:sz w:val="24"/>
          <w:szCs w:val="24"/>
        </w:rPr>
        <w:t xml:space="preserve">For example the research whether entrepreneurs are born or created has led to a dead end. </w:t>
      </w:r>
      <w:r w:rsidRPr="009C1ABE">
        <w:rPr>
          <w:rFonts w:cstheme="minorHAnsi"/>
          <w:sz w:val="24"/>
          <w:szCs w:val="24"/>
        </w:rPr>
        <w:t xml:space="preserve">Because entrepreneurship researchers have focused on the individual and ignored the context, </w:t>
      </w:r>
      <w:r>
        <w:rPr>
          <w:rFonts w:cstheme="minorHAnsi"/>
          <w:sz w:val="24"/>
          <w:szCs w:val="24"/>
        </w:rPr>
        <w:t xml:space="preserve">we </w:t>
      </w:r>
      <w:r w:rsidRPr="009C1ABE">
        <w:rPr>
          <w:rFonts w:cstheme="minorHAnsi"/>
          <w:sz w:val="24"/>
          <w:szCs w:val="24"/>
        </w:rPr>
        <w:t xml:space="preserve">have missed </w:t>
      </w:r>
      <w:r>
        <w:rPr>
          <w:rFonts w:cstheme="minorHAnsi"/>
          <w:sz w:val="24"/>
          <w:szCs w:val="24"/>
        </w:rPr>
        <w:t xml:space="preserve">at least </w:t>
      </w:r>
      <w:r w:rsidRPr="009C1ABE">
        <w:rPr>
          <w:rFonts w:cstheme="minorHAnsi"/>
          <w:sz w:val="24"/>
          <w:szCs w:val="24"/>
        </w:rPr>
        <w:t>three important points</w:t>
      </w:r>
      <w:r>
        <w:rPr>
          <w:rFonts w:cstheme="minorHAnsi"/>
          <w:sz w:val="24"/>
          <w:szCs w:val="24"/>
        </w:rPr>
        <w:t>:</w:t>
      </w:r>
    </w:p>
    <w:p w14:paraId="221D500C" w14:textId="77777777" w:rsidR="003C7978" w:rsidRPr="009C1ABE" w:rsidRDefault="003C7978" w:rsidP="0060328A">
      <w:pPr>
        <w:spacing w:line="276" w:lineRule="auto"/>
        <w:ind w:firstLine="720"/>
        <w:jc w:val="both"/>
        <w:rPr>
          <w:rFonts w:cstheme="minorHAnsi"/>
          <w:sz w:val="24"/>
          <w:szCs w:val="24"/>
        </w:rPr>
      </w:pPr>
      <w:r w:rsidRPr="009C1ABE">
        <w:rPr>
          <w:rFonts w:cstheme="minorHAnsi"/>
          <w:sz w:val="24"/>
          <w:szCs w:val="24"/>
        </w:rPr>
        <w:t>(1) that it is the context that regulates who decides to start a new firm;</w:t>
      </w:r>
    </w:p>
    <w:p w14:paraId="5994983A" w14:textId="77777777" w:rsidR="003C7978" w:rsidRPr="009C1ABE" w:rsidRDefault="003C7978" w:rsidP="0060328A">
      <w:pPr>
        <w:spacing w:line="276" w:lineRule="auto"/>
        <w:ind w:firstLine="720"/>
        <w:jc w:val="both"/>
        <w:rPr>
          <w:rFonts w:cstheme="minorHAnsi"/>
          <w:sz w:val="24"/>
          <w:szCs w:val="24"/>
        </w:rPr>
      </w:pPr>
      <w:r w:rsidRPr="009C1ABE">
        <w:rPr>
          <w:rFonts w:cstheme="minorHAnsi"/>
          <w:sz w:val="24"/>
          <w:szCs w:val="24"/>
        </w:rPr>
        <w:t xml:space="preserve">(2) it is the context that regulates what kind of firm they will start; </w:t>
      </w:r>
    </w:p>
    <w:p w14:paraId="34A0C7EE" w14:textId="77777777" w:rsidR="003C7978" w:rsidRDefault="003C7978" w:rsidP="0060328A">
      <w:pPr>
        <w:spacing w:line="276" w:lineRule="auto"/>
        <w:ind w:firstLine="720"/>
        <w:jc w:val="both"/>
        <w:rPr>
          <w:rFonts w:cstheme="minorHAnsi"/>
          <w:sz w:val="24"/>
          <w:szCs w:val="24"/>
        </w:rPr>
      </w:pPr>
      <w:r w:rsidRPr="009C1ABE">
        <w:rPr>
          <w:rFonts w:cstheme="minorHAnsi"/>
          <w:sz w:val="24"/>
          <w:szCs w:val="24"/>
        </w:rPr>
        <w:t xml:space="preserve">(3) </w:t>
      </w:r>
      <w:r>
        <w:rPr>
          <w:rFonts w:cstheme="minorHAnsi"/>
          <w:sz w:val="24"/>
          <w:szCs w:val="24"/>
        </w:rPr>
        <w:t xml:space="preserve">that the </w:t>
      </w:r>
      <w:r w:rsidRPr="009C1ABE">
        <w:rPr>
          <w:rFonts w:cstheme="minorHAnsi"/>
          <w:sz w:val="24"/>
          <w:szCs w:val="24"/>
        </w:rPr>
        <w:t>context also decides how aggressively the firm will pursue growth and with what outcomes.</w:t>
      </w:r>
    </w:p>
    <w:p w14:paraId="197C3837" w14:textId="3101300E" w:rsidR="009F4ECA" w:rsidRDefault="009F4ECA" w:rsidP="0060328A">
      <w:pPr>
        <w:spacing w:line="276" w:lineRule="auto"/>
        <w:ind w:firstLine="720"/>
        <w:jc w:val="both"/>
        <w:rPr>
          <w:rFonts w:cstheme="minorHAnsi"/>
          <w:sz w:val="24"/>
          <w:szCs w:val="24"/>
        </w:rPr>
      </w:pPr>
      <w:r>
        <w:rPr>
          <w:rFonts w:cstheme="minorHAnsi"/>
          <w:sz w:val="24"/>
          <w:szCs w:val="24"/>
        </w:rPr>
        <w:t>As it is the explicit aim of the FIRES project and more specifically its 4</w:t>
      </w:r>
      <w:r w:rsidRPr="00333C5C">
        <w:rPr>
          <w:rFonts w:cstheme="minorHAnsi"/>
          <w:sz w:val="24"/>
          <w:szCs w:val="24"/>
          <w:vertAlign w:val="superscript"/>
        </w:rPr>
        <w:t>th</w:t>
      </w:r>
      <w:r>
        <w:rPr>
          <w:rFonts w:cstheme="minorHAnsi"/>
          <w:sz w:val="24"/>
          <w:szCs w:val="24"/>
        </w:rPr>
        <w:t xml:space="preserve"> work package to map the entrepreneurial ecosystems in Europe, that is the national and regional systems of entrepreneurship, the proposed National Systems of Entrepreneurship serves as a natural starting point. In this report we present this approach and critically evaluate its suitability for this purpose before identifying where existing measures and methods need further elaboration. The next section presents the N</w:t>
      </w:r>
      <w:r w:rsidR="000F7562">
        <w:rPr>
          <w:rFonts w:cstheme="minorHAnsi"/>
          <w:sz w:val="24"/>
          <w:szCs w:val="24"/>
        </w:rPr>
        <w:t>SE</w:t>
      </w:r>
      <w:r>
        <w:rPr>
          <w:rFonts w:cstheme="minorHAnsi"/>
          <w:sz w:val="24"/>
          <w:szCs w:val="24"/>
        </w:rPr>
        <w:t xml:space="preserve"> approach</w:t>
      </w:r>
      <w:r w:rsidR="00E97CC3">
        <w:rPr>
          <w:rFonts w:cstheme="minorHAnsi"/>
          <w:sz w:val="24"/>
          <w:szCs w:val="24"/>
        </w:rPr>
        <w:t xml:space="preserve"> and section 4 will elaborate on its underlying logic. We then turn to the three main pillars in the FIRES project, finance, labour, </w:t>
      </w:r>
      <w:r w:rsidR="00E97CC3">
        <w:rPr>
          <w:rFonts w:cstheme="minorHAnsi"/>
          <w:sz w:val="24"/>
          <w:szCs w:val="24"/>
        </w:rPr>
        <w:lastRenderedPageBreak/>
        <w:t>knowledge and also zoom in on taxes and digital skills to show to what extent these are already covered in the framework and where additional work will be required. The report then concludes with a more specific agenda for future research in work package 4.</w:t>
      </w:r>
      <w:r>
        <w:rPr>
          <w:rFonts w:cstheme="minorHAnsi"/>
          <w:sz w:val="24"/>
          <w:szCs w:val="24"/>
        </w:rPr>
        <w:t xml:space="preserve">  </w:t>
      </w:r>
    </w:p>
    <w:p w14:paraId="7D1E0670" w14:textId="1C4B1C76" w:rsidR="003C7978" w:rsidRPr="003C7978" w:rsidRDefault="003C7978" w:rsidP="0060328A">
      <w:pPr>
        <w:pStyle w:val="Heading1"/>
        <w:spacing w:line="276" w:lineRule="auto"/>
        <w:jc w:val="both"/>
      </w:pPr>
      <w:bookmarkStart w:id="22" w:name="_Toc447096847"/>
      <w:r>
        <w:t>3</w:t>
      </w:r>
      <w:r w:rsidRPr="008915CA">
        <w:t>.</w:t>
      </w:r>
      <w:r>
        <w:t xml:space="preserve"> The Framing of National Systems of Entrepreneurship</w:t>
      </w:r>
      <w:bookmarkEnd w:id="22"/>
    </w:p>
    <w:p w14:paraId="649B0FBC" w14:textId="77777777" w:rsidR="003C7978" w:rsidRDefault="003C7978" w:rsidP="0060328A">
      <w:pPr>
        <w:spacing w:line="276" w:lineRule="auto"/>
        <w:jc w:val="both"/>
        <w:rPr>
          <w:rFonts w:cstheme="minorHAnsi"/>
          <w:sz w:val="24"/>
          <w:szCs w:val="24"/>
        </w:rPr>
      </w:pPr>
      <w:r>
        <w:rPr>
          <w:rFonts w:cstheme="minorHAnsi"/>
          <w:sz w:val="24"/>
          <w:szCs w:val="24"/>
        </w:rPr>
        <w:t>If one is interested in country level outcomes—innovation, competitiveness, growth—(</w:t>
      </w:r>
      <w:proofErr w:type="spellStart"/>
      <w:r>
        <w:rPr>
          <w:rFonts w:cstheme="minorHAnsi"/>
          <w:sz w:val="24"/>
          <w:szCs w:val="24"/>
        </w:rPr>
        <w:t>Audretsch</w:t>
      </w:r>
      <w:proofErr w:type="spellEnd"/>
      <w:r>
        <w:rPr>
          <w:rFonts w:cstheme="minorHAnsi"/>
          <w:sz w:val="24"/>
          <w:szCs w:val="24"/>
        </w:rPr>
        <w:t xml:space="preserve">, </w:t>
      </w:r>
      <w:proofErr w:type="spellStart"/>
      <w:r>
        <w:rPr>
          <w:rFonts w:cstheme="minorHAnsi"/>
          <w:sz w:val="24"/>
          <w:szCs w:val="24"/>
        </w:rPr>
        <w:t>Karatko</w:t>
      </w:r>
      <w:proofErr w:type="spellEnd"/>
      <w:r>
        <w:rPr>
          <w:rFonts w:cstheme="minorHAnsi"/>
          <w:sz w:val="24"/>
          <w:szCs w:val="24"/>
        </w:rPr>
        <w:t xml:space="preserve"> and Link, 2015) t</w:t>
      </w:r>
      <w:r w:rsidRPr="00581D45">
        <w:rPr>
          <w:rFonts w:cstheme="minorHAnsi"/>
          <w:sz w:val="24"/>
          <w:szCs w:val="24"/>
        </w:rPr>
        <w:t xml:space="preserve">here </w:t>
      </w:r>
      <w:r>
        <w:rPr>
          <w:rFonts w:cstheme="minorHAnsi"/>
          <w:sz w:val="24"/>
          <w:szCs w:val="24"/>
        </w:rPr>
        <w:t>are</w:t>
      </w:r>
      <w:r w:rsidRPr="00581D45">
        <w:rPr>
          <w:rFonts w:cstheme="minorHAnsi"/>
          <w:sz w:val="24"/>
          <w:szCs w:val="24"/>
        </w:rPr>
        <w:t xml:space="preserve"> </w:t>
      </w:r>
      <w:r>
        <w:rPr>
          <w:rFonts w:cstheme="minorHAnsi"/>
          <w:sz w:val="24"/>
          <w:szCs w:val="24"/>
        </w:rPr>
        <w:t xml:space="preserve">at least three </w:t>
      </w:r>
      <w:r w:rsidRPr="00581D45">
        <w:rPr>
          <w:rFonts w:cstheme="minorHAnsi"/>
          <w:sz w:val="24"/>
          <w:szCs w:val="24"/>
        </w:rPr>
        <w:t>approaches to understanding what mak</w:t>
      </w:r>
      <w:r>
        <w:rPr>
          <w:rFonts w:cstheme="minorHAnsi"/>
          <w:sz w:val="24"/>
          <w:szCs w:val="24"/>
        </w:rPr>
        <w:t>es countries and regions perform better over the past quarter century:   National System of Innovation (Nelson, 1993); The Competitive Advantage of Nations (Porter, 1900); Competition and Entrepreneurship (</w:t>
      </w:r>
      <w:proofErr w:type="spellStart"/>
      <w:r>
        <w:rPr>
          <w:rFonts w:cstheme="minorHAnsi"/>
          <w:sz w:val="24"/>
          <w:szCs w:val="24"/>
        </w:rPr>
        <w:t>Kirzner</w:t>
      </w:r>
      <w:proofErr w:type="spellEnd"/>
      <w:r>
        <w:rPr>
          <w:rFonts w:cstheme="minorHAnsi"/>
          <w:sz w:val="24"/>
          <w:szCs w:val="24"/>
        </w:rPr>
        <w:t xml:space="preserve">, 1973).  </w:t>
      </w:r>
    </w:p>
    <w:p w14:paraId="2BB78BA5" w14:textId="23AE47AE" w:rsidR="003C7978" w:rsidRDefault="003C7978" w:rsidP="0060328A">
      <w:pPr>
        <w:spacing w:line="276" w:lineRule="auto"/>
        <w:ind w:firstLine="720"/>
        <w:jc w:val="both"/>
        <w:rPr>
          <w:rFonts w:cstheme="minorHAnsi"/>
          <w:sz w:val="24"/>
          <w:szCs w:val="24"/>
        </w:rPr>
      </w:pPr>
      <w:r>
        <w:rPr>
          <w:rFonts w:cstheme="minorHAnsi"/>
          <w:sz w:val="24"/>
          <w:szCs w:val="24"/>
        </w:rPr>
        <w:t>T</w:t>
      </w:r>
      <w:r w:rsidRPr="00581D45">
        <w:rPr>
          <w:rFonts w:cstheme="minorHAnsi"/>
          <w:sz w:val="24"/>
          <w:szCs w:val="24"/>
        </w:rPr>
        <w:t xml:space="preserve">he </w:t>
      </w:r>
      <w:r>
        <w:rPr>
          <w:rFonts w:cstheme="minorHAnsi"/>
          <w:sz w:val="24"/>
          <w:szCs w:val="24"/>
        </w:rPr>
        <w:t xml:space="preserve">broadest approach to economic performance at the economy level is the concept </w:t>
      </w:r>
      <w:r w:rsidRPr="00581D45">
        <w:rPr>
          <w:rFonts w:cstheme="minorHAnsi"/>
          <w:sz w:val="24"/>
          <w:szCs w:val="24"/>
        </w:rPr>
        <w:t>of National Systems of Innova</w:t>
      </w:r>
      <w:r>
        <w:rPr>
          <w:rFonts w:cstheme="minorHAnsi"/>
          <w:sz w:val="24"/>
          <w:szCs w:val="24"/>
        </w:rPr>
        <w:t xml:space="preserve">tion (NSI) (Nelson, 1993; Lundvall, 1992; </w:t>
      </w:r>
      <w:proofErr w:type="spellStart"/>
      <w:r>
        <w:rPr>
          <w:rFonts w:cstheme="minorHAnsi"/>
          <w:sz w:val="24"/>
          <w:szCs w:val="24"/>
        </w:rPr>
        <w:t>Edquist</w:t>
      </w:r>
      <w:proofErr w:type="spellEnd"/>
      <w:r>
        <w:rPr>
          <w:rFonts w:cstheme="minorHAnsi"/>
          <w:sz w:val="24"/>
          <w:szCs w:val="24"/>
        </w:rPr>
        <w:t>, 1997). The main theoretical underpinnings are that knowledge is a fundamental resource in the economy</w:t>
      </w:r>
      <w:r w:rsidR="006E2FF0">
        <w:rPr>
          <w:rFonts w:cstheme="minorHAnsi"/>
          <w:sz w:val="24"/>
          <w:szCs w:val="24"/>
        </w:rPr>
        <w:t>,</w:t>
      </w:r>
      <w:r>
        <w:rPr>
          <w:rFonts w:cstheme="minorHAnsi"/>
          <w:sz w:val="24"/>
          <w:szCs w:val="24"/>
        </w:rPr>
        <w:t xml:space="preserve"> that knowledge is produced and accumulates through an interactive and cumulative process of innovation that is embedded in a national institutional context, and that the context therefore maters for innovation outcomes. The term ‘system’ connotes a set of institutions whose interactions determine the innovative performance</w:t>
      </w:r>
      <w:r w:rsidR="00333C5C">
        <w:rPr>
          <w:rFonts w:cstheme="minorHAnsi"/>
          <w:sz w:val="24"/>
          <w:szCs w:val="24"/>
        </w:rPr>
        <w:t xml:space="preserve"> o</w:t>
      </w:r>
      <w:r>
        <w:rPr>
          <w:rFonts w:cstheme="minorHAnsi"/>
          <w:sz w:val="24"/>
          <w:szCs w:val="24"/>
        </w:rPr>
        <w:t xml:space="preserve">f national firms. It is important to understand what the system means in the NSI literature.  According to Rosenberg and Nelson (1993: 4-5) the system concept, “...is that of a set of institutional actors that, together, plays the major role in influencing innovative performance.” Systems constitute of multiple components that work together to produce system performance. In the NSI literature, systems are </w:t>
      </w:r>
      <w:r w:rsidRPr="00805F5B">
        <w:rPr>
          <w:rFonts w:cstheme="minorHAnsi"/>
          <w:i/>
          <w:sz w:val="24"/>
          <w:szCs w:val="24"/>
        </w:rPr>
        <w:t xml:space="preserve">not </w:t>
      </w:r>
      <w:r>
        <w:rPr>
          <w:rFonts w:cstheme="minorHAnsi"/>
          <w:sz w:val="24"/>
          <w:szCs w:val="24"/>
        </w:rPr>
        <w:t xml:space="preserve">created. Rather, they are inherited, evolving structures, and the key task of the researcher is to understand this structure so the system could be rigged to deliver improved performance. </w:t>
      </w:r>
    </w:p>
    <w:p w14:paraId="3B750572" w14:textId="70009F2C" w:rsidR="003C7978" w:rsidRDefault="003C7978" w:rsidP="0060328A">
      <w:pPr>
        <w:spacing w:line="276" w:lineRule="auto"/>
        <w:ind w:firstLine="720"/>
        <w:jc w:val="both"/>
        <w:rPr>
          <w:rFonts w:cstheme="minorHAnsi"/>
          <w:sz w:val="24"/>
          <w:szCs w:val="24"/>
        </w:rPr>
      </w:pPr>
      <w:r>
        <w:rPr>
          <w:rFonts w:cstheme="minorHAnsi"/>
          <w:sz w:val="24"/>
          <w:szCs w:val="24"/>
        </w:rPr>
        <w:t xml:space="preserve">The NSI concept is mostly about context, </w:t>
      </w:r>
      <w:r w:rsidRPr="00581D45">
        <w:rPr>
          <w:rFonts w:cstheme="minorHAnsi"/>
          <w:sz w:val="24"/>
          <w:szCs w:val="24"/>
        </w:rPr>
        <w:t>how institutions drive knowle</w:t>
      </w:r>
      <w:r>
        <w:rPr>
          <w:rFonts w:cstheme="minorHAnsi"/>
          <w:sz w:val="24"/>
          <w:szCs w:val="24"/>
        </w:rPr>
        <w:t xml:space="preserve">dge production and application and how countries differ according to their “..set of institutions…” but totally overlooks the individual agency (Acs, </w:t>
      </w:r>
      <w:proofErr w:type="spellStart"/>
      <w:r>
        <w:rPr>
          <w:rFonts w:cstheme="minorHAnsi"/>
          <w:sz w:val="24"/>
          <w:szCs w:val="24"/>
        </w:rPr>
        <w:t>Autio</w:t>
      </w:r>
      <w:proofErr w:type="spellEnd"/>
      <w:r>
        <w:rPr>
          <w:rFonts w:cstheme="minorHAnsi"/>
          <w:sz w:val="24"/>
          <w:szCs w:val="24"/>
        </w:rPr>
        <w:t xml:space="preserve">, &amp; </w:t>
      </w:r>
      <w:proofErr w:type="spellStart"/>
      <w:r>
        <w:rPr>
          <w:rFonts w:cstheme="minorHAnsi"/>
          <w:sz w:val="24"/>
          <w:szCs w:val="24"/>
        </w:rPr>
        <w:t>Szerb</w:t>
      </w:r>
      <w:proofErr w:type="spellEnd"/>
      <w:r>
        <w:rPr>
          <w:rFonts w:cstheme="minorHAnsi"/>
          <w:sz w:val="24"/>
          <w:szCs w:val="24"/>
        </w:rPr>
        <w:t>, 2014, p. 477). In the NSI literature, i</w:t>
      </w:r>
      <w:r w:rsidRPr="00581D45">
        <w:rPr>
          <w:rFonts w:cstheme="minorHAnsi"/>
          <w:sz w:val="24"/>
          <w:szCs w:val="24"/>
        </w:rPr>
        <w:t xml:space="preserve">ndividuals </w:t>
      </w:r>
      <w:r>
        <w:rPr>
          <w:rFonts w:cstheme="minorHAnsi"/>
          <w:sz w:val="24"/>
          <w:szCs w:val="24"/>
        </w:rPr>
        <w:t xml:space="preserve">are almost treated </w:t>
      </w:r>
      <w:r w:rsidR="006E2FF0">
        <w:rPr>
          <w:rFonts w:cstheme="minorHAnsi"/>
          <w:sz w:val="24"/>
          <w:szCs w:val="24"/>
        </w:rPr>
        <w:t xml:space="preserve">as </w:t>
      </w:r>
      <w:r>
        <w:rPr>
          <w:rFonts w:cstheme="minorHAnsi"/>
          <w:sz w:val="24"/>
          <w:szCs w:val="24"/>
        </w:rPr>
        <w:t xml:space="preserve">exogenously given and contextual variables and settings </w:t>
      </w:r>
      <w:r w:rsidR="006E2FF0">
        <w:rPr>
          <w:rFonts w:cstheme="minorHAnsi"/>
          <w:sz w:val="24"/>
          <w:szCs w:val="24"/>
        </w:rPr>
        <w:t>we</w:t>
      </w:r>
      <w:r>
        <w:rPr>
          <w:rFonts w:cstheme="minorHAnsi"/>
          <w:sz w:val="24"/>
          <w:szCs w:val="24"/>
        </w:rPr>
        <w:t xml:space="preserve">re in the focus of academic research and policy makers (Acs, </w:t>
      </w:r>
      <w:proofErr w:type="spellStart"/>
      <w:r>
        <w:rPr>
          <w:rFonts w:cstheme="minorHAnsi"/>
          <w:sz w:val="24"/>
          <w:szCs w:val="24"/>
        </w:rPr>
        <w:t>Autio</w:t>
      </w:r>
      <w:proofErr w:type="spellEnd"/>
      <w:r>
        <w:rPr>
          <w:rFonts w:cstheme="minorHAnsi"/>
          <w:sz w:val="24"/>
          <w:szCs w:val="24"/>
        </w:rPr>
        <w:t xml:space="preserve">, </w:t>
      </w:r>
      <w:proofErr w:type="spellStart"/>
      <w:r>
        <w:rPr>
          <w:rFonts w:cstheme="minorHAnsi"/>
          <w:sz w:val="24"/>
          <w:szCs w:val="24"/>
        </w:rPr>
        <w:t>Szerb</w:t>
      </w:r>
      <w:proofErr w:type="spellEnd"/>
      <w:r>
        <w:rPr>
          <w:rFonts w:cstheme="minorHAnsi"/>
          <w:sz w:val="24"/>
          <w:szCs w:val="24"/>
        </w:rPr>
        <w:t>, 2015). In other words, NSI helped us understand where we were as nations but not how to improve our position. It is perhaps a little surprising, if not ironic, that although the NSI literature was heavily influenced by the Schumpeterian tradition, the entrepreneur remained conspicuously absent in this literature.</w:t>
      </w:r>
    </w:p>
    <w:p w14:paraId="135EAB5A" w14:textId="4F05D017" w:rsidR="003C7978" w:rsidRDefault="003C7978" w:rsidP="0060328A">
      <w:pPr>
        <w:spacing w:line="276" w:lineRule="auto"/>
        <w:ind w:firstLine="720"/>
        <w:jc w:val="both"/>
        <w:rPr>
          <w:rFonts w:cstheme="minorHAnsi"/>
          <w:sz w:val="24"/>
          <w:szCs w:val="24"/>
        </w:rPr>
      </w:pPr>
      <w:r>
        <w:rPr>
          <w:rFonts w:cstheme="minorHAnsi"/>
          <w:sz w:val="24"/>
          <w:szCs w:val="24"/>
        </w:rPr>
        <w:t>The second approach to national economic outcome</w:t>
      </w:r>
      <w:r w:rsidR="006E2FF0">
        <w:rPr>
          <w:rFonts w:cstheme="minorHAnsi"/>
          <w:sz w:val="24"/>
          <w:szCs w:val="24"/>
        </w:rPr>
        <w:t>s</w:t>
      </w:r>
      <w:r>
        <w:rPr>
          <w:rFonts w:cstheme="minorHAnsi"/>
          <w:sz w:val="24"/>
          <w:szCs w:val="24"/>
        </w:rPr>
        <w:t xml:space="preserve"> is associated with Michael Porter’s (1990) work on the Competitive Advantage of Nations. While Porter was also interested in Nations and Innovation like Nelson, he took the analysis one step further. The central question to answer according to Porter is, “Why do firms in some industries achieve international success and others do not”? In addition to understanding the role of institutions, Porter argued that firm strategy is an important aspect of global competitiveness.   To understand the environment Porter introduced the “Diamond”: a concept that tied together factor conditions, demand conditions, related and supplier </w:t>
      </w:r>
      <w:r>
        <w:rPr>
          <w:rFonts w:cstheme="minorHAnsi"/>
          <w:sz w:val="24"/>
          <w:szCs w:val="24"/>
        </w:rPr>
        <w:lastRenderedPageBreak/>
        <w:t>industries and firm strategy, structure and rivalry.  Porter argued that productivity and competitive advantage in an economy requires specialization.  In the Competitive Advantage of Nation</w:t>
      </w:r>
      <w:r w:rsidR="006E2FF0">
        <w:rPr>
          <w:rFonts w:cstheme="minorHAnsi"/>
          <w:sz w:val="24"/>
          <w:szCs w:val="24"/>
        </w:rPr>
        <w:t>s</w:t>
      </w:r>
      <w:r>
        <w:rPr>
          <w:rFonts w:cstheme="minorHAnsi"/>
          <w:sz w:val="24"/>
          <w:szCs w:val="24"/>
        </w:rPr>
        <w:t xml:space="preserve"> he “introduced the concept of a cluster, or group of interconnected firms, suppliers, related industries, and specialized institutions in particular fields that are present in particular locations. “  Porter offered a sophisticated view </w:t>
      </w:r>
      <w:r w:rsidR="00333C5C">
        <w:rPr>
          <w:rFonts w:cstheme="minorHAnsi"/>
          <w:sz w:val="24"/>
          <w:szCs w:val="24"/>
        </w:rPr>
        <w:t>among</w:t>
      </w:r>
      <w:r>
        <w:rPr>
          <w:rFonts w:cstheme="minorHAnsi"/>
          <w:sz w:val="24"/>
          <w:szCs w:val="24"/>
        </w:rPr>
        <w:t xml:space="preserve"> agglomeration economics and competition and strategy by focusing on clusters.</w:t>
      </w:r>
    </w:p>
    <w:p w14:paraId="31E0535E" w14:textId="40A235AC" w:rsidR="003C7978" w:rsidRDefault="003C7978" w:rsidP="0060328A">
      <w:pPr>
        <w:spacing w:line="276" w:lineRule="auto"/>
        <w:ind w:firstLine="720"/>
        <w:jc w:val="both"/>
        <w:rPr>
          <w:rFonts w:cstheme="minorHAnsi"/>
          <w:sz w:val="24"/>
          <w:szCs w:val="24"/>
        </w:rPr>
      </w:pPr>
      <w:r>
        <w:rPr>
          <w:rFonts w:cstheme="minorHAnsi"/>
          <w:sz w:val="24"/>
          <w:szCs w:val="24"/>
        </w:rPr>
        <w:t xml:space="preserve">Clusters provided case study evidence of regions and industries that led to better performance.  Porter’s Diamond model and cluster evidence became the model for thinking about policy at the economy level. The Diamond identified the institutional context and clusters showed how they </w:t>
      </w:r>
      <w:r w:rsidR="006E2FF0">
        <w:rPr>
          <w:rFonts w:cstheme="minorHAnsi"/>
          <w:sz w:val="24"/>
          <w:szCs w:val="24"/>
        </w:rPr>
        <w:t xml:space="preserve">might </w:t>
      </w:r>
      <w:r>
        <w:rPr>
          <w:rFonts w:cstheme="minorHAnsi"/>
          <w:sz w:val="24"/>
          <w:szCs w:val="24"/>
        </w:rPr>
        <w:t>be improved. If one set of institutions was missing</w:t>
      </w:r>
      <w:r w:rsidR="006E2FF0">
        <w:rPr>
          <w:rFonts w:cstheme="minorHAnsi"/>
          <w:sz w:val="24"/>
          <w:szCs w:val="24"/>
        </w:rPr>
        <w:t>,</w:t>
      </w:r>
      <w:r>
        <w:rPr>
          <w:rFonts w:cstheme="minorHAnsi"/>
          <w:sz w:val="24"/>
          <w:szCs w:val="24"/>
        </w:rPr>
        <w:t xml:space="preserve"> performance would be sub optimal and could be fixed in a relatively short period of time. Porter’s approach was an improvement over NSI because clusters were able to provide a policy perspective.  However, they were similar in at least one respect. They both took the number of firms as given, providing no role for new firms </w:t>
      </w:r>
      <w:r w:rsidR="006E2FF0">
        <w:rPr>
          <w:rFonts w:cstheme="minorHAnsi"/>
          <w:sz w:val="24"/>
          <w:szCs w:val="24"/>
        </w:rPr>
        <w:t xml:space="preserve">or entrepreneurs </w:t>
      </w:r>
      <w:r>
        <w:rPr>
          <w:rFonts w:cstheme="minorHAnsi"/>
          <w:sz w:val="24"/>
          <w:szCs w:val="24"/>
        </w:rPr>
        <w:t xml:space="preserve">in the commercialization of knowledge and </w:t>
      </w:r>
      <w:r w:rsidR="006E2FF0">
        <w:rPr>
          <w:rFonts w:cstheme="minorHAnsi"/>
          <w:sz w:val="24"/>
          <w:szCs w:val="24"/>
        </w:rPr>
        <w:t xml:space="preserve">both </w:t>
      </w:r>
      <w:r>
        <w:rPr>
          <w:rFonts w:cstheme="minorHAnsi"/>
          <w:sz w:val="24"/>
          <w:szCs w:val="24"/>
        </w:rPr>
        <w:t xml:space="preserve">left entrepreneurship out of the analysis.  </w:t>
      </w:r>
      <w:r w:rsidR="00414AFB">
        <w:rPr>
          <w:rStyle w:val="FootnoteReference"/>
          <w:rFonts w:cstheme="minorHAnsi"/>
          <w:sz w:val="24"/>
          <w:szCs w:val="24"/>
        </w:rPr>
        <w:footnoteReference w:id="2"/>
      </w:r>
    </w:p>
    <w:p w14:paraId="05EB156B" w14:textId="77777777" w:rsidR="003C7978" w:rsidRDefault="003C7978" w:rsidP="0060328A">
      <w:pPr>
        <w:spacing w:line="276" w:lineRule="auto"/>
        <w:ind w:firstLine="720"/>
        <w:jc w:val="both"/>
        <w:rPr>
          <w:rFonts w:cstheme="minorHAnsi"/>
          <w:sz w:val="24"/>
          <w:szCs w:val="24"/>
        </w:rPr>
      </w:pPr>
      <w:r>
        <w:rPr>
          <w:rFonts w:cstheme="minorHAnsi"/>
          <w:sz w:val="24"/>
          <w:szCs w:val="24"/>
        </w:rPr>
        <w:t>The third approach to national economic outcome focuses on entrepreneurship (</w:t>
      </w:r>
      <w:proofErr w:type="spellStart"/>
      <w:r>
        <w:rPr>
          <w:rFonts w:cstheme="minorHAnsi"/>
          <w:sz w:val="24"/>
          <w:szCs w:val="24"/>
        </w:rPr>
        <w:t>Baumol</w:t>
      </w:r>
      <w:proofErr w:type="spellEnd"/>
      <w:r>
        <w:rPr>
          <w:rFonts w:cstheme="minorHAnsi"/>
          <w:sz w:val="24"/>
          <w:szCs w:val="24"/>
        </w:rPr>
        <w:t xml:space="preserve">, </w:t>
      </w:r>
      <w:proofErr w:type="spellStart"/>
      <w:r>
        <w:rPr>
          <w:rFonts w:cstheme="minorHAnsi"/>
          <w:sz w:val="24"/>
          <w:szCs w:val="24"/>
        </w:rPr>
        <w:t>Litan</w:t>
      </w:r>
      <w:proofErr w:type="spellEnd"/>
      <w:r>
        <w:rPr>
          <w:rFonts w:cstheme="minorHAnsi"/>
          <w:sz w:val="24"/>
          <w:szCs w:val="24"/>
        </w:rPr>
        <w:t xml:space="preserve"> and Schramm, 2009).  </w:t>
      </w:r>
      <w:r w:rsidRPr="00875250">
        <w:rPr>
          <w:rFonts w:cstheme="minorHAnsi"/>
          <w:sz w:val="24"/>
          <w:szCs w:val="24"/>
        </w:rPr>
        <w:t xml:space="preserve"> </w:t>
      </w:r>
      <w:r>
        <w:rPr>
          <w:rFonts w:cstheme="minorHAnsi"/>
          <w:sz w:val="24"/>
          <w:szCs w:val="24"/>
        </w:rPr>
        <w:t xml:space="preserve">It helps to start out with a clear statement of what we mean by entrepreneurship as a national phenomenon. Entrepreneurship is about human action:  what they do and what outcomes emerge from their actions. The outcome of entrepreneurship for many is opportunity recognition or the individual-opportunity nexus (Shane and </w:t>
      </w:r>
      <w:proofErr w:type="spellStart"/>
      <w:r>
        <w:rPr>
          <w:rFonts w:cstheme="minorHAnsi"/>
          <w:sz w:val="24"/>
          <w:szCs w:val="24"/>
        </w:rPr>
        <w:t>Venkkataraman</w:t>
      </w:r>
      <w:proofErr w:type="spellEnd"/>
      <w:r>
        <w:rPr>
          <w:rFonts w:cstheme="minorHAnsi"/>
          <w:sz w:val="24"/>
          <w:szCs w:val="24"/>
        </w:rPr>
        <w:t>, 2000). However, the nexus is simply a first step into the unknown.</w:t>
      </w:r>
      <w:r w:rsidRPr="00087B3C">
        <w:rPr>
          <w:rFonts w:cstheme="minorHAnsi"/>
          <w:sz w:val="24"/>
          <w:szCs w:val="24"/>
        </w:rPr>
        <w:t xml:space="preserve">  </w:t>
      </w:r>
    </w:p>
    <w:p w14:paraId="26A15C4D" w14:textId="552E7DAA" w:rsidR="003C7978" w:rsidRPr="00BF3B75" w:rsidRDefault="003C7978" w:rsidP="0060328A">
      <w:pPr>
        <w:spacing w:line="276" w:lineRule="auto"/>
        <w:ind w:firstLine="720"/>
        <w:jc w:val="both"/>
        <w:rPr>
          <w:rFonts w:cstheme="minorHAnsi"/>
          <w:i/>
          <w:sz w:val="24"/>
          <w:szCs w:val="24"/>
        </w:rPr>
      </w:pPr>
      <w:r>
        <w:rPr>
          <w:rFonts w:cstheme="minorHAnsi"/>
          <w:sz w:val="24"/>
          <w:szCs w:val="24"/>
        </w:rPr>
        <w:t xml:space="preserve">There are two prominent approaches in the entrepreneurship literature on national performance. While the two approaches are similar in many respects they differ fundamentally on the role they assign to the entrepreneur. The first approach is that of Israel M. </w:t>
      </w:r>
      <w:proofErr w:type="spellStart"/>
      <w:r>
        <w:rPr>
          <w:rFonts w:cstheme="minorHAnsi"/>
          <w:sz w:val="24"/>
          <w:szCs w:val="24"/>
        </w:rPr>
        <w:t>Kirzner</w:t>
      </w:r>
      <w:proofErr w:type="spellEnd"/>
      <w:r>
        <w:rPr>
          <w:rFonts w:cstheme="minorHAnsi"/>
          <w:sz w:val="24"/>
          <w:szCs w:val="24"/>
        </w:rPr>
        <w:t xml:space="preserve"> (1973). The </w:t>
      </w:r>
      <w:proofErr w:type="spellStart"/>
      <w:r>
        <w:rPr>
          <w:rFonts w:cstheme="minorHAnsi"/>
          <w:sz w:val="24"/>
          <w:szCs w:val="24"/>
        </w:rPr>
        <w:t>Kirznarian</w:t>
      </w:r>
      <w:proofErr w:type="spellEnd"/>
      <w:r>
        <w:rPr>
          <w:rFonts w:cstheme="minorHAnsi"/>
          <w:sz w:val="24"/>
          <w:szCs w:val="24"/>
        </w:rPr>
        <w:t xml:space="preserve"> approach stresses the importance of market processes over equilibrium analysis. The focus is on competition and entrepreneurship.  The </w:t>
      </w:r>
      <w:r w:rsidR="006E2FF0">
        <w:rPr>
          <w:rFonts w:cstheme="minorHAnsi"/>
          <w:sz w:val="24"/>
          <w:szCs w:val="24"/>
        </w:rPr>
        <w:t xml:space="preserve">second approach is due to Joseph A. Schumpeter. The </w:t>
      </w:r>
      <w:r>
        <w:rPr>
          <w:rFonts w:cstheme="minorHAnsi"/>
          <w:sz w:val="24"/>
          <w:szCs w:val="24"/>
        </w:rPr>
        <w:t xml:space="preserve">Schumpeterian system [1911(1934)] stresses the role of evolution and innovation in the market mechanism by shifting the production function. For Schumpeter, entrepreneurship is important primarily in sparking economic development by creating disequilibrium. For </w:t>
      </w:r>
      <w:proofErr w:type="spellStart"/>
      <w:r>
        <w:rPr>
          <w:rFonts w:cstheme="minorHAnsi"/>
          <w:sz w:val="24"/>
          <w:szCs w:val="24"/>
        </w:rPr>
        <w:t>Kirzner</w:t>
      </w:r>
      <w:proofErr w:type="spellEnd"/>
      <w:r>
        <w:rPr>
          <w:rFonts w:cstheme="minorHAnsi"/>
          <w:sz w:val="24"/>
          <w:szCs w:val="24"/>
        </w:rPr>
        <w:t xml:space="preserve"> entrepreneurship is important primarily in enabling the market process to work itself out in all contexts. For </w:t>
      </w:r>
      <w:proofErr w:type="spellStart"/>
      <w:r>
        <w:rPr>
          <w:rFonts w:cstheme="minorHAnsi"/>
          <w:sz w:val="24"/>
          <w:szCs w:val="24"/>
        </w:rPr>
        <w:t>Kirzner</w:t>
      </w:r>
      <w:proofErr w:type="spellEnd"/>
      <w:r>
        <w:rPr>
          <w:rFonts w:cstheme="minorHAnsi"/>
          <w:sz w:val="24"/>
          <w:szCs w:val="24"/>
        </w:rPr>
        <w:t xml:space="preserve"> (1973, p. 81 emphasis original), “ the function of the entrepreneur consists not of shifting the curves of cost or revenues which face him</w:t>
      </w:r>
      <w:r w:rsidRPr="00B77961">
        <w:rPr>
          <w:rFonts w:cstheme="minorHAnsi"/>
          <w:i/>
          <w:sz w:val="24"/>
          <w:szCs w:val="24"/>
        </w:rPr>
        <w:t>, but of noticing that they have in fact shifted</w:t>
      </w:r>
      <w:r>
        <w:rPr>
          <w:rFonts w:cstheme="minorHAnsi"/>
          <w:sz w:val="24"/>
          <w:szCs w:val="24"/>
        </w:rPr>
        <w:t xml:space="preserve">.” In essence the Schumpeterian entrepreneur is about creating a new production function—one that did not exist before—and the </w:t>
      </w:r>
      <w:proofErr w:type="spellStart"/>
      <w:r>
        <w:rPr>
          <w:rFonts w:cstheme="minorHAnsi"/>
          <w:sz w:val="24"/>
          <w:szCs w:val="24"/>
        </w:rPr>
        <w:t>Kirzn</w:t>
      </w:r>
      <w:r w:rsidR="006E2FF0">
        <w:rPr>
          <w:rFonts w:cstheme="minorHAnsi"/>
          <w:sz w:val="24"/>
          <w:szCs w:val="24"/>
        </w:rPr>
        <w:t>e</w:t>
      </w:r>
      <w:r>
        <w:rPr>
          <w:rFonts w:cstheme="minorHAnsi"/>
          <w:sz w:val="24"/>
          <w:szCs w:val="24"/>
        </w:rPr>
        <w:t>rian</w:t>
      </w:r>
      <w:proofErr w:type="spellEnd"/>
      <w:r>
        <w:rPr>
          <w:rFonts w:cstheme="minorHAnsi"/>
          <w:sz w:val="24"/>
          <w:szCs w:val="24"/>
        </w:rPr>
        <w:t xml:space="preserve"> entrepreneur is about operating </w:t>
      </w:r>
      <w:r>
        <w:rPr>
          <w:rFonts w:cstheme="minorHAnsi"/>
          <w:sz w:val="24"/>
          <w:szCs w:val="24"/>
        </w:rPr>
        <w:lastRenderedPageBreak/>
        <w:t>in the context of the existing production function.</w:t>
      </w:r>
      <w:r w:rsidR="00414AFB">
        <w:rPr>
          <w:rStyle w:val="FootnoteReference"/>
          <w:rFonts w:cstheme="minorHAnsi"/>
          <w:sz w:val="24"/>
          <w:szCs w:val="24"/>
        </w:rPr>
        <w:footnoteReference w:id="3"/>
      </w:r>
      <w:r>
        <w:rPr>
          <w:rFonts w:cstheme="minorHAnsi"/>
          <w:sz w:val="24"/>
          <w:szCs w:val="24"/>
        </w:rPr>
        <w:t xml:space="preserve"> The latter does not necessarily lead to improved national performance. </w:t>
      </w:r>
      <w:r w:rsidR="008D222F">
        <w:rPr>
          <w:rFonts w:cstheme="minorHAnsi"/>
          <w:sz w:val="24"/>
          <w:szCs w:val="24"/>
        </w:rPr>
        <w:t xml:space="preserve">Of course we could argue that the </w:t>
      </w:r>
      <w:proofErr w:type="spellStart"/>
      <w:r w:rsidR="008D222F">
        <w:rPr>
          <w:rFonts w:cstheme="minorHAnsi"/>
          <w:sz w:val="24"/>
          <w:szCs w:val="24"/>
        </w:rPr>
        <w:t>Kirznerian</w:t>
      </w:r>
      <w:proofErr w:type="spellEnd"/>
      <w:r w:rsidR="008D222F">
        <w:rPr>
          <w:rFonts w:cstheme="minorHAnsi"/>
          <w:sz w:val="24"/>
          <w:szCs w:val="24"/>
        </w:rPr>
        <w:t xml:space="preserve"> entrepreneur moves us closer to the existing frontier by eliminating slack and inefficiency, but only technology can be a long run source of growth as efficiency runs into strong diminishing returns.  </w:t>
      </w:r>
      <w:r>
        <w:rPr>
          <w:rFonts w:cstheme="minorHAnsi"/>
          <w:sz w:val="24"/>
          <w:szCs w:val="24"/>
        </w:rPr>
        <w:t xml:space="preserve">If the production function is not shifted, and shifted often, after a while there will be nothing for </w:t>
      </w:r>
      <w:proofErr w:type="spellStart"/>
      <w:r>
        <w:rPr>
          <w:rFonts w:cstheme="minorHAnsi"/>
          <w:sz w:val="24"/>
          <w:szCs w:val="24"/>
        </w:rPr>
        <w:t>Kirzn</w:t>
      </w:r>
      <w:r w:rsidR="008D222F">
        <w:rPr>
          <w:rFonts w:cstheme="minorHAnsi"/>
          <w:sz w:val="24"/>
          <w:szCs w:val="24"/>
        </w:rPr>
        <w:t>e</w:t>
      </w:r>
      <w:r>
        <w:rPr>
          <w:rFonts w:cstheme="minorHAnsi"/>
          <w:sz w:val="24"/>
          <w:szCs w:val="24"/>
        </w:rPr>
        <w:t>rian</w:t>
      </w:r>
      <w:proofErr w:type="spellEnd"/>
      <w:r>
        <w:rPr>
          <w:rFonts w:cstheme="minorHAnsi"/>
          <w:sz w:val="24"/>
          <w:szCs w:val="24"/>
        </w:rPr>
        <w:t xml:space="preserve"> entrepreneurs to do as the </w:t>
      </w:r>
      <w:r w:rsidRPr="00BF3B75">
        <w:rPr>
          <w:rFonts w:cstheme="minorHAnsi"/>
          <w:i/>
          <w:sz w:val="24"/>
          <w:szCs w:val="24"/>
        </w:rPr>
        <w:t>market will equilibrate, and long run stagnation will set in. What is missing from the Austrian story is a way to connect agency with institutions that tie together the entrepreneur with a set of modern institutions along the lines of NSI and/or Clusters that improved national performance.</w:t>
      </w:r>
    </w:p>
    <w:p w14:paraId="21BA7EDC" w14:textId="61A3E11D" w:rsidR="00F87E40" w:rsidRDefault="004F781E" w:rsidP="0060328A">
      <w:pPr>
        <w:spacing w:line="276" w:lineRule="auto"/>
        <w:ind w:firstLine="720"/>
        <w:jc w:val="both"/>
        <w:rPr>
          <w:rFonts w:cstheme="minorHAnsi"/>
          <w:sz w:val="24"/>
          <w:szCs w:val="24"/>
        </w:rPr>
      </w:pPr>
      <w:r>
        <w:rPr>
          <w:rFonts w:cstheme="minorHAnsi"/>
          <w:sz w:val="24"/>
          <w:szCs w:val="24"/>
        </w:rPr>
        <w:t xml:space="preserve">In a seminal paper, </w:t>
      </w:r>
      <w:proofErr w:type="spellStart"/>
      <w:r>
        <w:rPr>
          <w:rFonts w:cstheme="minorHAnsi"/>
          <w:sz w:val="24"/>
          <w:szCs w:val="24"/>
        </w:rPr>
        <w:t>Baumol</w:t>
      </w:r>
      <w:proofErr w:type="spellEnd"/>
      <w:r>
        <w:rPr>
          <w:rFonts w:cstheme="minorHAnsi"/>
          <w:sz w:val="24"/>
          <w:szCs w:val="24"/>
        </w:rPr>
        <w:t xml:space="preserve"> (1990</w:t>
      </w:r>
      <w:r w:rsidR="00F87E40">
        <w:rPr>
          <w:rFonts w:cstheme="minorHAnsi"/>
          <w:sz w:val="24"/>
          <w:szCs w:val="24"/>
        </w:rPr>
        <w:t xml:space="preserve">) took a unique way to explain the effect of entrepreneurship on economic performance. Unlike other predecessors, </w:t>
      </w:r>
      <w:proofErr w:type="spellStart"/>
      <w:r w:rsidR="00F87E40">
        <w:rPr>
          <w:rFonts w:cstheme="minorHAnsi"/>
          <w:sz w:val="24"/>
          <w:szCs w:val="24"/>
        </w:rPr>
        <w:t>Baumol</w:t>
      </w:r>
      <w:proofErr w:type="spellEnd"/>
      <w:r w:rsidR="00F87E40">
        <w:rPr>
          <w:rFonts w:cstheme="minorHAnsi"/>
          <w:sz w:val="24"/>
          <w:szCs w:val="24"/>
        </w:rPr>
        <w:t xml:space="preserve"> </w:t>
      </w:r>
      <w:r w:rsidR="008D222F">
        <w:rPr>
          <w:rFonts w:cstheme="minorHAnsi"/>
          <w:sz w:val="24"/>
          <w:szCs w:val="24"/>
        </w:rPr>
        <w:t>asserted</w:t>
      </w:r>
      <w:r w:rsidR="00F87E40">
        <w:rPr>
          <w:rFonts w:cstheme="minorHAnsi"/>
          <w:sz w:val="24"/>
          <w:szCs w:val="24"/>
        </w:rPr>
        <w:t xml:space="preserve"> that entrepreneurship was not necessar</w:t>
      </w:r>
      <w:r w:rsidR="000C25FB">
        <w:rPr>
          <w:rFonts w:cstheme="minorHAnsi"/>
          <w:sz w:val="24"/>
          <w:szCs w:val="24"/>
        </w:rPr>
        <w:t>ily</w:t>
      </w:r>
      <w:r w:rsidR="00F87E40">
        <w:rPr>
          <w:rFonts w:cstheme="minorHAnsi"/>
          <w:sz w:val="24"/>
          <w:szCs w:val="24"/>
        </w:rPr>
        <w:t xml:space="preserve"> effective. He </w:t>
      </w:r>
      <w:r w:rsidR="008D222F">
        <w:rPr>
          <w:rFonts w:cstheme="minorHAnsi"/>
          <w:sz w:val="24"/>
          <w:szCs w:val="24"/>
        </w:rPr>
        <w:t xml:space="preserve">made the assumption </w:t>
      </w:r>
      <w:r w:rsidR="00F87E40">
        <w:rPr>
          <w:rFonts w:cstheme="minorHAnsi"/>
          <w:sz w:val="24"/>
          <w:szCs w:val="24"/>
        </w:rPr>
        <w:t>that the supply of entrepreneurs is constant over time and</w:t>
      </w:r>
      <w:r w:rsidR="008D222F">
        <w:rPr>
          <w:rFonts w:cstheme="minorHAnsi"/>
          <w:sz w:val="24"/>
          <w:szCs w:val="24"/>
        </w:rPr>
        <w:t xml:space="preserve"> the</w:t>
      </w:r>
      <w:r w:rsidR="00F87E40">
        <w:rPr>
          <w:rFonts w:cstheme="minorHAnsi"/>
          <w:sz w:val="24"/>
          <w:szCs w:val="24"/>
        </w:rPr>
        <w:t xml:space="preserve"> effectiveness of entrepreneurship is determined by the quality of institutions. Under </w:t>
      </w:r>
      <w:r w:rsidR="0062401A">
        <w:rPr>
          <w:rFonts w:cstheme="minorHAnsi"/>
          <w:sz w:val="24"/>
          <w:szCs w:val="24"/>
        </w:rPr>
        <w:t>suitable</w:t>
      </w:r>
      <w:r w:rsidR="00F87E40">
        <w:rPr>
          <w:rFonts w:cstheme="minorHAnsi"/>
          <w:sz w:val="24"/>
          <w:szCs w:val="24"/>
        </w:rPr>
        <w:t xml:space="preserve"> institutional setup agents are engaged in value creating entrepreneurial activity</w:t>
      </w:r>
      <w:r w:rsidR="007F2417">
        <w:rPr>
          <w:rFonts w:cstheme="minorHAnsi"/>
          <w:sz w:val="24"/>
          <w:szCs w:val="24"/>
        </w:rPr>
        <w:t>. I</w:t>
      </w:r>
      <w:r w:rsidR="007365E0">
        <w:rPr>
          <w:rFonts w:cstheme="minorHAnsi"/>
          <w:sz w:val="24"/>
          <w:szCs w:val="24"/>
        </w:rPr>
        <w:t xml:space="preserve">neffective or even destructive entrepreneurship could emerge if institutions </w:t>
      </w:r>
      <w:r w:rsidR="0062401A">
        <w:rPr>
          <w:rFonts w:cstheme="minorHAnsi"/>
          <w:sz w:val="24"/>
          <w:szCs w:val="24"/>
        </w:rPr>
        <w:t xml:space="preserve">improperly induce agents to start a </w:t>
      </w:r>
      <w:r w:rsidR="000C25FB">
        <w:rPr>
          <w:rFonts w:cstheme="minorHAnsi"/>
          <w:sz w:val="24"/>
          <w:szCs w:val="24"/>
        </w:rPr>
        <w:t xml:space="preserve">(productive) </w:t>
      </w:r>
      <w:r w:rsidR="0062401A">
        <w:rPr>
          <w:rFonts w:cstheme="minorHAnsi"/>
          <w:sz w:val="24"/>
          <w:szCs w:val="24"/>
        </w:rPr>
        <w:t>business. The importance of institutions to economic development has been reinforced by institutional economist</w:t>
      </w:r>
      <w:r w:rsidR="000C25FB">
        <w:rPr>
          <w:rFonts w:cstheme="minorHAnsi"/>
          <w:sz w:val="24"/>
          <w:szCs w:val="24"/>
        </w:rPr>
        <w:t>s</w:t>
      </w:r>
      <w:r w:rsidR="0062401A">
        <w:rPr>
          <w:rFonts w:cstheme="minorHAnsi"/>
          <w:sz w:val="24"/>
          <w:szCs w:val="24"/>
        </w:rPr>
        <w:t xml:space="preserve"> (North </w:t>
      </w:r>
      <w:r w:rsidR="007F2417">
        <w:rPr>
          <w:rFonts w:cstheme="minorHAnsi"/>
          <w:sz w:val="24"/>
          <w:szCs w:val="24"/>
        </w:rPr>
        <w:t>1990,</w:t>
      </w:r>
      <w:r w:rsidR="001B374C">
        <w:rPr>
          <w:rFonts w:cstheme="minorHAnsi"/>
          <w:sz w:val="24"/>
          <w:szCs w:val="24"/>
        </w:rPr>
        <w:t xml:space="preserve"> </w:t>
      </w:r>
      <w:proofErr w:type="spellStart"/>
      <w:r w:rsidR="00463D9A">
        <w:rPr>
          <w:rFonts w:cstheme="minorHAnsi"/>
          <w:sz w:val="24"/>
          <w:szCs w:val="24"/>
        </w:rPr>
        <w:t>Acemoglu</w:t>
      </w:r>
      <w:proofErr w:type="spellEnd"/>
      <w:r w:rsidR="00463D9A">
        <w:rPr>
          <w:rFonts w:cstheme="minorHAnsi"/>
          <w:sz w:val="24"/>
          <w:szCs w:val="24"/>
        </w:rPr>
        <w:t xml:space="preserve"> et al 2005</w:t>
      </w:r>
      <w:r w:rsidR="007F2417">
        <w:rPr>
          <w:rFonts w:cstheme="minorHAnsi"/>
          <w:sz w:val="24"/>
          <w:szCs w:val="24"/>
        </w:rPr>
        <w:t xml:space="preserve">, </w:t>
      </w:r>
      <w:proofErr w:type="spellStart"/>
      <w:r w:rsidR="007F2417">
        <w:rPr>
          <w:rFonts w:cstheme="minorHAnsi"/>
          <w:sz w:val="24"/>
          <w:szCs w:val="24"/>
        </w:rPr>
        <w:t>Rodri</w:t>
      </w:r>
      <w:r w:rsidR="0062401A">
        <w:rPr>
          <w:rFonts w:cstheme="minorHAnsi"/>
          <w:sz w:val="24"/>
          <w:szCs w:val="24"/>
        </w:rPr>
        <w:t>k</w:t>
      </w:r>
      <w:proofErr w:type="spellEnd"/>
      <w:r w:rsidR="0062401A">
        <w:rPr>
          <w:rFonts w:cstheme="minorHAnsi"/>
          <w:sz w:val="24"/>
          <w:szCs w:val="24"/>
        </w:rPr>
        <w:t>)</w:t>
      </w:r>
      <w:r w:rsidR="007F2417">
        <w:rPr>
          <w:rFonts w:cstheme="minorHAnsi"/>
          <w:sz w:val="24"/>
          <w:szCs w:val="24"/>
        </w:rPr>
        <w:t xml:space="preserve">. However, </w:t>
      </w:r>
      <w:r w:rsidR="00884CA0">
        <w:rPr>
          <w:rFonts w:cstheme="minorHAnsi"/>
          <w:sz w:val="24"/>
          <w:szCs w:val="24"/>
        </w:rPr>
        <w:t>institutionalist</w:t>
      </w:r>
      <w:r w:rsidR="000C25FB">
        <w:rPr>
          <w:rFonts w:cstheme="minorHAnsi"/>
          <w:sz w:val="24"/>
          <w:szCs w:val="24"/>
        </w:rPr>
        <w:t>s</w:t>
      </w:r>
      <w:r w:rsidR="00884CA0">
        <w:rPr>
          <w:rFonts w:cstheme="minorHAnsi"/>
          <w:sz w:val="24"/>
          <w:szCs w:val="24"/>
        </w:rPr>
        <w:t xml:space="preserve"> - similar to NSI scholars - assume</w:t>
      </w:r>
      <w:r w:rsidR="007F2417">
        <w:rPr>
          <w:rFonts w:cstheme="minorHAnsi"/>
          <w:sz w:val="24"/>
          <w:szCs w:val="24"/>
        </w:rPr>
        <w:t xml:space="preserve"> that agents are automatically </w:t>
      </w:r>
      <w:r w:rsidR="00884CA0">
        <w:rPr>
          <w:rFonts w:cstheme="minorHAnsi"/>
          <w:sz w:val="24"/>
          <w:szCs w:val="24"/>
        </w:rPr>
        <w:t>reacting</w:t>
      </w:r>
      <w:r w:rsidR="007F2417">
        <w:rPr>
          <w:rFonts w:cstheme="minorHAnsi"/>
          <w:sz w:val="24"/>
          <w:szCs w:val="24"/>
        </w:rPr>
        <w:t xml:space="preserve"> to institutional incentives.</w:t>
      </w:r>
      <w:r w:rsidR="000C25FB">
        <w:rPr>
          <w:rFonts w:cstheme="minorHAnsi"/>
          <w:sz w:val="24"/>
          <w:szCs w:val="24"/>
        </w:rPr>
        <w:t xml:space="preserve"> In other words, they ignore agency. </w:t>
      </w:r>
      <w:proofErr w:type="spellStart"/>
      <w:r w:rsidR="000C25FB">
        <w:rPr>
          <w:rFonts w:cstheme="minorHAnsi"/>
          <w:sz w:val="24"/>
          <w:szCs w:val="24"/>
        </w:rPr>
        <w:t>Baumol</w:t>
      </w:r>
      <w:proofErr w:type="spellEnd"/>
      <w:r w:rsidR="000C25FB">
        <w:rPr>
          <w:rFonts w:cstheme="minorHAnsi"/>
          <w:sz w:val="24"/>
          <w:szCs w:val="24"/>
        </w:rPr>
        <w:t xml:space="preserve">, on the other hand, put the nexus between individual agency and national level institutions centre stage. In his approach the (given supply of) entrepreneurs </w:t>
      </w:r>
      <w:r w:rsidR="000C25FB" w:rsidRPr="008D222F">
        <w:rPr>
          <w:rFonts w:cstheme="minorHAnsi"/>
          <w:i/>
          <w:sz w:val="24"/>
          <w:szCs w:val="24"/>
        </w:rPr>
        <w:t>choose</w:t>
      </w:r>
      <w:r w:rsidR="000C25FB">
        <w:rPr>
          <w:rFonts w:cstheme="minorHAnsi"/>
          <w:sz w:val="24"/>
          <w:szCs w:val="24"/>
        </w:rPr>
        <w:t xml:space="preserve"> to act in one way or another in response to and interaction with the local institutional arrangements in which they find themselves.</w:t>
      </w:r>
    </w:p>
    <w:p w14:paraId="175EB2D1" w14:textId="72A11F84" w:rsidR="003C7978" w:rsidRDefault="003C7978" w:rsidP="0060328A">
      <w:pPr>
        <w:spacing w:line="276" w:lineRule="auto"/>
        <w:ind w:firstLine="720"/>
        <w:jc w:val="both"/>
        <w:rPr>
          <w:rFonts w:cstheme="minorHAnsi"/>
          <w:sz w:val="24"/>
          <w:szCs w:val="24"/>
        </w:rPr>
      </w:pPr>
      <w:r>
        <w:rPr>
          <w:rFonts w:cstheme="minorHAnsi"/>
          <w:sz w:val="24"/>
          <w:szCs w:val="24"/>
        </w:rPr>
        <w:t>In order to operationalize the theoretical literature on entrepreneurship at the economy level and fill this hole in the entrepreneurship literature a group of scholars in 2004 set out to integrate agency and outcome in a coherent framework.</w:t>
      </w:r>
      <w:r>
        <w:rPr>
          <w:rStyle w:val="FootnoteReference"/>
          <w:rFonts w:cstheme="minorHAnsi"/>
          <w:sz w:val="24"/>
          <w:szCs w:val="24"/>
        </w:rPr>
        <w:footnoteReference w:id="4"/>
      </w:r>
      <w:r>
        <w:rPr>
          <w:rFonts w:cstheme="minorHAnsi"/>
          <w:sz w:val="24"/>
          <w:szCs w:val="24"/>
        </w:rPr>
        <w:t xml:space="preserve"> Knowledge </w:t>
      </w:r>
      <w:proofErr w:type="spellStart"/>
      <w:r>
        <w:rPr>
          <w:rFonts w:cstheme="minorHAnsi"/>
          <w:sz w:val="24"/>
          <w:szCs w:val="24"/>
        </w:rPr>
        <w:t>spillover</w:t>
      </w:r>
      <w:proofErr w:type="spellEnd"/>
      <w:r>
        <w:rPr>
          <w:rFonts w:cstheme="minorHAnsi"/>
          <w:sz w:val="24"/>
          <w:szCs w:val="24"/>
        </w:rPr>
        <w:t xml:space="preserve"> entrepreneurship provided a bridge between entrepreneurship and national performance,</w:t>
      </w:r>
      <w:r w:rsidRPr="007B6DC8">
        <w:rPr>
          <w:rFonts w:cstheme="minorHAnsi"/>
          <w:sz w:val="24"/>
          <w:szCs w:val="24"/>
        </w:rPr>
        <w:t xml:space="preserve"> not just on why some people choose to become entrepreneurs while others do not, but also how and why entrepreneurship is a critical </w:t>
      </w:r>
      <w:r>
        <w:rPr>
          <w:rFonts w:cstheme="minorHAnsi"/>
          <w:sz w:val="24"/>
          <w:szCs w:val="24"/>
        </w:rPr>
        <w:t>factor</w:t>
      </w:r>
      <w:r w:rsidRPr="007B6DC8">
        <w:rPr>
          <w:rFonts w:cstheme="minorHAnsi"/>
          <w:sz w:val="24"/>
          <w:szCs w:val="24"/>
        </w:rPr>
        <w:t xml:space="preserve"> in improving economic performance (Acs, et al. 2009; Acs, </w:t>
      </w:r>
      <w:proofErr w:type="spellStart"/>
      <w:r w:rsidRPr="007B6DC8">
        <w:rPr>
          <w:rFonts w:cstheme="minorHAnsi"/>
          <w:sz w:val="24"/>
          <w:szCs w:val="24"/>
        </w:rPr>
        <w:t>Audretsch</w:t>
      </w:r>
      <w:proofErr w:type="spellEnd"/>
      <w:r w:rsidRPr="007B6DC8">
        <w:rPr>
          <w:rFonts w:cstheme="minorHAnsi"/>
          <w:sz w:val="24"/>
          <w:szCs w:val="24"/>
        </w:rPr>
        <w:t>, &amp; Lehmann, 2013</w:t>
      </w:r>
      <w:r>
        <w:rPr>
          <w:rFonts w:cstheme="minorHAnsi"/>
          <w:sz w:val="24"/>
          <w:szCs w:val="24"/>
        </w:rPr>
        <w:t>;</w:t>
      </w:r>
      <w:r w:rsidRPr="00D73A76">
        <w:rPr>
          <w:rFonts w:cstheme="minorHAnsi"/>
          <w:sz w:val="24"/>
          <w:szCs w:val="24"/>
        </w:rPr>
        <w:t xml:space="preserve"> </w:t>
      </w:r>
      <w:r w:rsidR="008D222F">
        <w:rPr>
          <w:rFonts w:cstheme="minorHAnsi"/>
          <w:sz w:val="24"/>
          <w:szCs w:val="24"/>
        </w:rPr>
        <w:t xml:space="preserve">Acs and Sanders, 2013; </w:t>
      </w:r>
      <w:proofErr w:type="spellStart"/>
      <w:r w:rsidRPr="00354E5B">
        <w:rPr>
          <w:rFonts w:cstheme="minorHAnsi"/>
          <w:sz w:val="24"/>
          <w:szCs w:val="24"/>
        </w:rPr>
        <w:t>Ghio</w:t>
      </w:r>
      <w:proofErr w:type="spellEnd"/>
      <w:r w:rsidRPr="00354E5B">
        <w:rPr>
          <w:rFonts w:cstheme="minorHAnsi"/>
          <w:sz w:val="24"/>
          <w:szCs w:val="24"/>
        </w:rPr>
        <w:t xml:space="preserve"> et al, 2015</w:t>
      </w:r>
      <w:r w:rsidRPr="007B6DC8">
        <w:rPr>
          <w:rFonts w:cstheme="minorHAnsi"/>
          <w:sz w:val="24"/>
          <w:szCs w:val="24"/>
        </w:rPr>
        <w:t xml:space="preserve">). According to </w:t>
      </w:r>
      <w:r>
        <w:rPr>
          <w:rFonts w:cstheme="minorHAnsi"/>
          <w:sz w:val="24"/>
          <w:szCs w:val="24"/>
        </w:rPr>
        <w:t xml:space="preserve">the Knowledge </w:t>
      </w:r>
      <w:proofErr w:type="spellStart"/>
      <w:r>
        <w:rPr>
          <w:rFonts w:cstheme="minorHAnsi"/>
          <w:sz w:val="24"/>
          <w:szCs w:val="24"/>
        </w:rPr>
        <w:t>Spillover</w:t>
      </w:r>
      <w:proofErr w:type="spellEnd"/>
      <w:r>
        <w:rPr>
          <w:rFonts w:cstheme="minorHAnsi"/>
          <w:sz w:val="24"/>
          <w:szCs w:val="24"/>
        </w:rPr>
        <w:t xml:space="preserve"> Theory of Entrepreneurship (KSTE)</w:t>
      </w:r>
      <w:r w:rsidRPr="007B6DC8">
        <w:rPr>
          <w:rFonts w:cstheme="minorHAnsi"/>
          <w:sz w:val="24"/>
          <w:szCs w:val="24"/>
        </w:rPr>
        <w:t>, the context in which decision-making is derived can influence one’s determination to become an entrepreneur (</w:t>
      </w:r>
      <w:proofErr w:type="spellStart"/>
      <w:r w:rsidRPr="007B6DC8">
        <w:rPr>
          <w:rFonts w:cstheme="minorHAnsi"/>
          <w:sz w:val="24"/>
          <w:szCs w:val="24"/>
        </w:rPr>
        <w:t>Minola</w:t>
      </w:r>
      <w:proofErr w:type="spellEnd"/>
      <w:r w:rsidRPr="007B6DC8">
        <w:rPr>
          <w:rFonts w:cstheme="minorHAnsi"/>
          <w:sz w:val="24"/>
          <w:szCs w:val="24"/>
        </w:rPr>
        <w:t xml:space="preserve">, </w:t>
      </w:r>
      <w:proofErr w:type="spellStart"/>
      <w:r w:rsidRPr="007B6DC8">
        <w:rPr>
          <w:rFonts w:cstheme="minorHAnsi"/>
          <w:sz w:val="24"/>
          <w:szCs w:val="24"/>
        </w:rPr>
        <w:t>Criaco</w:t>
      </w:r>
      <w:proofErr w:type="spellEnd"/>
      <w:r w:rsidRPr="007B6DC8">
        <w:rPr>
          <w:rFonts w:cstheme="minorHAnsi"/>
          <w:sz w:val="24"/>
          <w:szCs w:val="24"/>
        </w:rPr>
        <w:t xml:space="preserve">, &amp; </w:t>
      </w:r>
      <w:proofErr w:type="spellStart"/>
      <w:r w:rsidRPr="007B6DC8">
        <w:rPr>
          <w:rFonts w:cstheme="minorHAnsi"/>
          <w:sz w:val="24"/>
          <w:szCs w:val="24"/>
        </w:rPr>
        <w:t>Obschonka</w:t>
      </w:r>
      <w:proofErr w:type="spellEnd"/>
      <w:r w:rsidRPr="007B6DC8">
        <w:rPr>
          <w:rFonts w:cstheme="minorHAnsi"/>
          <w:sz w:val="24"/>
          <w:szCs w:val="24"/>
        </w:rPr>
        <w:t xml:space="preserve">, 2015).  By commercializing the ideas that evolved from an incumbent organization but commercialized independent of this organization via the creation of a new firm, the entrepreneurs not only serve as a conduit for </w:t>
      </w:r>
      <w:r w:rsidRPr="007B6DC8">
        <w:rPr>
          <w:rFonts w:cstheme="minorHAnsi"/>
          <w:sz w:val="24"/>
          <w:szCs w:val="24"/>
        </w:rPr>
        <w:lastRenderedPageBreak/>
        <w:t xml:space="preserve">the </w:t>
      </w:r>
      <w:proofErr w:type="spellStart"/>
      <w:r w:rsidRPr="007B6DC8">
        <w:rPr>
          <w:rFonts w:cstheme="minorHAnsi"/>
          <w:sz w:val="24"/>
          <w:szCs w:val="24"/>
        </w:rPr>
        <w:t>spillover</w:t>
      </w:r>
      <w:proofErr w:type="spellEnd"/>
      <w:r w:rsidRPr="007B6DC8">
        <w:rPr>
          <w:rFonts w:cstheme="minorHAnsi"/>
          <w:sz w:val="24"/>
          <w:szCs w:val="24"/>
        </w:rPr>
        <w:t xml:space="preserve"> of knowledge, but also for the ensuing innovative activity and enhanced economic performance (Acs, et al, 2009</w:t>
      </w:r>
      <w:r w:rsidR="008D222F">
        <w:rPr>
          <w:rFonts w:cstheme="minorHAnsi"/>
          <w:sz w:val="24"/>
          <w:szCs w:val="24"/>
        </w:rPr>
        <w:t xml:space="preserve">; Acs and Sanders, </w:t>
      </w:r>
      <w:r w:rsidR="00703E81">
        <w:rPr>
          <w:rFonts w:cstheme="minorHAnsi"/>
          <w:sz w:val="24"/>
          <w:szCs w:val="24"/>
        </w:rPr>
        <w:t>2012,2013</w:t>
      </w:r>
      <w:r w:rsidRPr="007B6DC8">
        <w:rPr>
          <w:rFonts w:cstheme="minorHAnsi"/>
          <w:sz w:val="24"/>
          <w:szCs w:val="24"/>
        </w:rPr>
        <w:t>).</w:t>
      </w:r>
      <w:r>
        <w:rPr>
          <w:rFonts w:cstheme="minorHAnsi"/>
          <w:sz w:val="24"/>
          <w:szCs w:val="24"/>
        </w:rPr>
        <w:t xml:space="preserve"> The KSTE is consistent with the Schumpeterian view of entrepreneurship that the role of the entrepreneur is to create a new production function.  </w:t>
      </w:r>
    </w:p>
    <w:p w14:paraId="26FEC249" w14:textId="6671BB67" w:rsidR="003C7978" w:rsidRDefault="003C7978" w:rsidP="0060328A">
      <w:pPr>
        <w:spacing w:line="276" w:lineRule="auto"/>
        <w:ind w:firstLine="720"/>
        <w:jc w:val="both"/>
        <w:rPr>
          <w:rFonts w:cstheme="minorHAnsi"/>
          <w:sz w:val="24"/>
          <w:szCs w:val="24"/>
        </w:rPr>
      </w:pPr>
      <w:r>
        <w:rPr>
          <w:rFonts w:cstheme="minorHAnsi"/>
          <w:sz w:val="24"/>
          <w:szCs w:val="24"/>
        </w:rPr>
        <w:t>The KSTE also introduced the concept of the Knowledge Filter (</w:t>
      </w:r>
      <w:proofErr w:type="spellStart"/>
      <w:r>
        <w:rPr>
          <w:rFonts w:cstheme="minorHAnsi"/>
          <w:sz w:val="24"/>
          <w:szCs w:val="24"/>
        </w:rPr>
        <w:t>Carlsson</w:t>
      </w:r>
      <w:proofErr w:type="spellEnd"/>
      <w:r>
        <w:rPr>
          <w:rFonts w:cstheme="minorHAnsi"/>
          <w:sz w:val="24"/>
          <w:szCs w:val="24"/>
        </w:rPr>
        <w:t xml:space="preserve"> et al. (2009). The Knowledge Filter is a subset of institutions that hinder the commercialization of knowledge by entrepreneurs.  However, the theory fell short in one important respect. While identifying the importance of the knowledge filter in the commercialization of technology</w:t>
      </w:r>
      <w:r w:rsidR="000C25FB">
        <w:rPr>
          <w:rFonts w:cstheme="minorHAnsi"/>
          <w:sz w:val="24"/>
          <w:szCs w:val="24"/>
        </w:rPr>
        <w:t>,</w:t>
      </w:r>
      <w:r>
        <w:rPr>
          <w:rFonts w:cstheme="minorHAnsi"/>
          <w:sz w:val="24"/>
          <w:szCs w:val="24"/>
        </w:rPr>
        <w:t xml:space="preserve"> the KSTE never produced the detailed working of the institutional system that either NSI or Clusters provided. What is still missing here is an explanation of the interaction of agency and institutions in a coherent system at the national </w:t>
      </w:r>
      <w:r w:rsidR="000C25FB">
        <w:rPr>
          <w:rFonts w:cstheme="minorHAnsi"/>
          <w:sz w:val="24"/>
          <w:szCs w:val="24"/>
        </w:rPr>
        <w:t xml:space="preserve">(or regional) </w:t>
      </w:r>
      <w:r>
        <w:rPr>
          <w:rFonts w:cstheme="minorHAnsi"/>
          <w:sz w:val="24"/>
          <w:szCs w:val="24"/>
        </w:rPr>
        <w:t>level.</w:t>
      </w:r>
    </w:p>
    <w:p w14:paraId="16703381" w14:textId="4FAC5AC7" w:rsidR="003C7978" w:rsidRDefault="003C7978" w:rsidP="0060328A">
      <w:pPr>
        <w:spacing w:line="276" w:lineRule="auto"/>
        <w:ind w:firstLine="720"/>
        <w:jc w:val="both"/>
        <w:rPr>
          <w:rFonts w:cstheme="minorHAnsi"/>
          <w:sz w:val="24"/>
          <w:szCs w:val="24"/>
        </w:rPr>
      </w:pPr>
      <w:r>
        <w:rPr>
          <w:rFonts w:cstheme="minorHAnsi"/>
          <w:sz w:val="24"/>
          <w:szCs w:val="24"/>
        </w:rPr>
        <w:t xml:space="preserve">With the introduction of national system of entrepreneurship (NSE), Acs, </w:t>
      </w:r>
      <w:proofErr w:type="spellStart"/>
      <w:r>
        <w:rPr>
          <w:rFonts w:cstheme="minorHAnsi"/>
          <w:sz w:val="24"/>
          <w:szCs w:val="24"/>
        </w:rPr>
        <w:t>Autio</w:t>
      </w:r>
      <w:proofErr w:type="spellEnd"/>
      <w:r>
        <w:rPr>
          <w:rFonts w:cstheme="minorHAnsi"/>
          <w:sz w:val="24"/>
          <w:szCs w:val="24"/>
        </w:rPr>
        <w:t xml:space="preserve">, and </w:t>
      </w:r>
      <w:proofErr w:type="spellStart"/>
      <w:r>
        <w:rPr>
          <w:rFonts w:cstheme="minorHAnsi"/>
          <w:sz w:val="24"/>
          <w:szCs w:val="24"/>
        </w:rPr>
        <w:t>Szerb</w:t>
      </w:r>
      <w:proofErr w:type="spellEnd"/>
      <w:r>
        <w:rPr>
          <w:rFonts w:cstheme="minorHAnsi"/>
          <w:sz w:val="24"/>
          <w:szCs w:val="24"/>
        </w:rPr>
        <w:t xml:space="preserve"> (2014, 2015) develop an </w:t>
      </w:r>
      <w:r w:rsidRPr="003164A4">
        <w:rPr>
          <w:rFonts w:cstheme="minorHAnsi"/>
          <w:sz w:val="24"/>
          <w:szCs w:val="24"/>
        </w:rPr>
        <w:t>approach that</w:t>
      </w:r>
      <w:r>
        <w:rPr>
          <w:rFonts w:cstheme="minorHAnsi"/>
          <w:sz w:val="24"/>
          <w:szCs w:val="24"/>
        </w:rPr>
        <w:t xml:space="preserve"> integrates the importance of agency</w:t>
      </w:r>
      <w:r w:rsidRPr="003164A4">
        <w:rPr>
          <w:rFonts w:cstheme="minorHAnsi"/>
          <w:sz w:val="24"/>
          <w:szCs w:val="24"/>
        </w:rPr>
        <w:t xml:space="preserve"> </w:t>
      </w:r>
      <w:r>
        <w:rPr>
          <w:rFonts w:cstheme="minorHAnsi"/>
          <w:sz w:val="24"/>
          <w:szCs w:val="24"/>
        </w:rPr>
        <w:t>along the lines of the KSTE and institutions as</w:t>
      </w:r>
      <w:r w:rsidRPr="003164A4">
        <w:rPr>
          <w:rFonts w:cstheme="minorHAnsi"/>
          <w:sz w:val="24"/>
          <w:szCs w:val="24"/>
        </w:rPr>
        <w:t xml:space="preserve"> </w:t>
      </w:r>
      <w:r>
        <w:rPr>
          <w:rFonts w:cstheme="minorHAnsi"/>
          <w:sz w:val="24"/>
          <w:szCs w:val="24"/>
        </w:rPr>
        <w:t xml:space="preserve">an </w:t>
      </w:r>
      <w:r w:rsidRPr="003164A4">
        <w:rPr>
          <w:rFonts w:cstheme="minorHAnsi"/>
          <w:sz w:val="24"/>
          <w:szCs w:val="24"/>
        </w:rPr>
        <w:t xml:space="preserve">alternative perspective </w:t>
      </w:r>
      <w:r>
        <w:rPr>
          <w:rFonts w:cstheme="minorHAnsi"/>
          <w:sz w:val="24"/>
          <w:szCs w:val="24"/>
        </w:rPr>
        <w:t>to NSI</w:t>
      </w:r>
      <w:r w:rsidRPr="003164A4">
        <w:rPr>
          <w:rFonts w:cstheme="minorHAnsi"/>
          <w:sz w:val="24"/>
          <w:szCs w:val="24"/>
        </w:rPr>
        <w:t>,</w:t>
      </w:r>
      <w:r>
        <w:rPr>
          <w:rFonts w:cstheme="minorHAnsi"/>
          <w:sz w:val="24"/>
          <w:szCs w:val="24"/>
        </w:rPr>
        <w:t xml:space="preserve"> explaining</w:t>
      </w:r>
      <w:r w:rsidRPr="003164A4">
        <w:rPr>
          <w:rFonts w:cstheme="minorHAnsi"/>
          <w:sz w:val="24"/>
          <w:szCs w:val="24"/>
        </w:rPr>
        <w:t xml:space="preserve"> not just why some people choose to become entrepreneurs while others do not, but also how and why </w:t>
      </w:r>
      <w:r w:rsidR="000C25FB">
        <w:rPr>
          <w:rFonts w:cstheme="minorHAnsi"/>
          <w:sz w:val="24"/>
          <w:szCs w:val="24"/>
        </w:rPr>
        <w:t xml:space="preserve">their </w:t>
      </w:r>
      <w:r>
        <w:rPr>
          <w:rFonts w:cstheme="minorHAnsi"/>
          <w:sz w:val="24"/>
          <w:szCs w:val="24"/>
        </w:rPr>
        <w:t xml:space="preserve">performance differs in </w:t>
      </w:r>
      <w:r w:rsidR="000C25FB">
        <w:rPr>
          <w:rFonts w:cstheme="minorHAnsi"/>
          <w:sz w:val="24"/>
          <w:szCs w:val="24"/>
        </w:rPr>
        <w:t xml:space="preserve">the aggregate </w:t>
      </w:r>
      <w:r>
        <w:rPr>
          <w:rFonts w:cstheme="minorHAnsi"/>
          <w:sz w:val="24"/>
          <w:szCs w:val="24"/>
        </w:rPr>
        <w:t xml:space="preserve">across counties. They develop a new index methodology characterizing national systems of entrepreneurship recognizing interactions </w:t>
      </w:r>
      <w:r w:rsidR="000C25FB">
        <w:rPr>
          <w:rFonts w:cstheme="minorHAnsi"/>
          <w:sz w:val="24"/>
          <w:szCs w:val="24"/>
        </w:rPr>
        <w:t xml:space="preserve">between </w:t>
      </w:r>
      <w:r>
        <w:rPr>
          <w:rFonts w:cstheme="minorHAnsi"/>
          <w:sz w:val="24"/>
          <w:szCs w:val="24"/>
        </w:rPr>
        <w:t xml:space="preserve">different components and in particular identifying bottleneck factors that hold back entrepreneurial performance.  </w:t>
      </w:r>
      <w:r w:rsidRPr="00E60848">
        <w:rPr>
          <w:rFonts w:cstheme="minorHAnsi"/>
          <w:sz w:val="24"/>
          <w:szCs w:val="24"/>
        </w:rPr>
        <w:t xml:space="preserve">The systemic approach of national systems of entrepreneurship </w:t>
      </w:r>
      <w:r>
        <w:rPr>
          <w:rFonts w:cstheme="minorHAnsi"/>
          <w:sz w:val="24"/>
          <w:szCs w:val="24"/>
        </w:rPr>
        <w:t>considers</w:t>
      </w:r>
      <w:r w:rsidRPr="00E60848">
        <w:rPr>
          <w:rFonts w:cstheme="minorHAnsi"/>
          <w:sz w:val="24"/>
          <w:szCs w:val="24"/>
        </w:rPr>
        <w:t xml:space="preserve"> institutional arrangements beyond geographical proximity and location s</w:t>
      </w:r>
      <w:r>
        <w:rPr>
          <w:rFonts w:cstheme="minorHAnsi"/>
          <w:sz w:val="24"/>
          <w:szCs w:val="24"/>
        </w:rPr>
        <w:t>pecific endowment</w:t>
      </w:r>
      <w:r w:rsidR="000C25FB">
        <w:rPr>
          <w:rFonts w:cstheme="minorHAnsi"/>
          <w:sz w:val="24"/>
          <w:szCs w:val="24"/>
        </w:rPr>
        <w:t>s</w:t>
      </w:r>
      <w:r>
        <w:rPr>
          <w:rFonts w:cstheme="minorHAnsi"/>
          <w:sz w:val="24"/>
          <w:szCs w:val="24"/>
        </w:rPr>
        <w:t xml:space="preserve"> and thus </w:t>
      </w:r>
      <w:r w:rsidRPr="00E60848">
        <w:rPr>
          <w:rFonts w:cstheme="minorHAnsi"/>
          <w:sz w:val="24"/>
          <w:szCs w:val="24"/>
        </w:rPr>
        <w:t xml:space="preserve">provides a more realistic </w:t>
      </w:r>
      <w:r w:rsidR="00437656">
        <w:rPr>
          <w:rFonts w:cstheme="minorHAnsi"/>
          <w:sz w:val="24"/>
          <w:szCs w:val="24"/>
        </w:rPr>
        <w:t>representation</w:t>
      </w:r>
      <w:r w:rsidRPr="00E60848">
        <w:rPr>
          <w:rFonts w:cstheme="minorHAnsi"/>
          <w:sz w:val="24"/>
          <w:szCs w:val="24"/>
        </w:rPr>
        <w:t xml:space="preserve"> of the phenomenon of entrepreneurship</w:t>
      </w:r>
      <w:r>
        <w:rPr>
          <w:rFonts w:cstheme="minorHAnsi"/>
          <w:sz w:val="24"/>
          <w:szCs w:val="24"/>
        </w:rPr>
        <w:t xml:space="preserve"> at the country level. The approach </w:t>
      </w:r>
      <w:r w:rsidRPr="00E60848">
        <w:rPr>
          <w:rFonts w:cstheme="minorHAnsi"/>
          <w:sz w:val="24"/>
          <w:szCs w:val="24"/>
        </w:rPr>
        <w:t>also forces researchers and policy makers to think in systemic terms</w:t>
      </w:r>
      <w:r w:rsidR="00437656">
        <w:rPr>
          <w:rFonts w:cstheme="minorHAnsi"/>
          <w:sz w:val="24"/>
          <w:szCs w:val="24"/>
        </w:rPr>
        <w:t xml:space="preserve">, which </w:t>
      </w:r>
      <w:r w:rsidRPr="00E60848">
        <w:rPr>
          <w:rFonts w:cstheme="minorHAnsi"/>
          <w:sz w:val="24"/>
          <w:szCs w:val="24"/>
        </w:rPr>
        <w:t>widen</w:t>
      </w:r>
      <w:r w:rsidR="00437656">
        <w:rPr>
          <w:rFonts w:cstheme="minorHAnsi"/>
          <w:sz w:val="24"/>
          <w:szCs w:val="24"/>
        </w:rPr>
        <w:t>s</w:t>
      </w:r>
      <w:r w:rsidRPr="00E60848">
        <w:rPr>
          <w:rFonts w:cstheme="minorHAnsi"/>
          <w:sz w:val="24"/>
          <w:szCs w:val="24"/>
        </w:rPr>
        <w:t xml:space="preserve"> the perspective when considering both individual- and country-level indicators.</w:t>
      </w:r>
    </w:p>
    <w:p w14:paraId="00265BFE" w14:textId="14FF2FFE" w:rsidR="003C7978" w:rsidRPr="003C7978" w:rsidRDefault="00A11879" w:rsidP="0060328A">
      <w:pPr>
        <w:pStyle w:val="Heading1"/>
        <w:spacing w:line="276" w:lineRule="auto"/>
        <w:jc w:val="both"/>
      </w:pPr>
      <w:bookmarkStart w:id="23" w:name="_Toc447096848"/>
      <w:r>
        <w:t>4</w:t>
      </w:r>
      <w:r w:rsidR="003C7978" w:rsidRPr="008915CA">
        <w:t>.</w:t>
      </w:r>
      <w:r w:rsidR="003C7978">
        <w:t xml:space="preserve"> The Logic of National System of Entrepreneurship</w:t>
      </w:r>
      <w:bookmarkEnd w:id="23"/>
    </w:p>
    <w:p w14:paraId="373313B6" w14:textId="23421551" w:rsidR="003C7978" w:rsidRDefault="003C7978" w:rsidP="0060328A">
      <w:pPr>
        <w:spacing w:line="276" w:lineRule="auto"/>
        <w:jc w:val="both"/>
        <w:rPr>
          <w:rFonts w:cstheme="minorHAnsi"/>
          <w:sz w:val="24"/>
          <w:szCs w:val="24"/>
        </w:rPr>
      </w:pPr>
      <w:r>
        <w:rPr>
          <w:rFonts w:cstheme="minorHAnsi"/>
          <w:sz w:val="24"/>
          <w:szCs w:val="24"/>
        </w:rPr>
        <w:t>I</w:t>
      </w:r>
      <w:r w:rsidRPr="007D0290">
        <w:rPr>
          <w:rFonts w:cstheme="minorHAnsi"/>
          <w:sz w:val="24"/>
          <w:szCs w:val="24"/>
        </w:rPr>
        <w:t>t is widely accepted that an ‘entrepreneurial’ country does not simply mean that there are more entrepreneu</w:t>
      </w:r>
      <w:r>
        <w:rPr>
          <w:rFonts w:cstheme="minorHAnsi"/>
          <w:sz w:val="24"/>
          <w:szCs w:val="24"/>
        </w:rPr>
        <w:t xml:space="preserve">rs. </w:t>
      </w:r>
      <w:r w:rsidR="00F67B70">
        <w:rPr>
          <w:rFonts w:cstheme="minorHAnsi"/>
          <w:sz w:val="24"/>
          <w:szCs w:val="24"/>
        </w:rPr>
        <w:t>W</w:t>
      </w:r>
      <w:r>
        <w:rPr>
          <w:rFonts w:cstheme="minorHAnsi"/>
          <w:sz w:val="24"/>
          <w:szCs w:val="24"/>
        </w:rPr>
        <w:t>hile</w:t>
      </w:r>
      <w:r w:rsidRPr="007D0290">
        <w:rPr>
          <w:rFonts w:cstheme="minorHAnsi"/>
          <w:sz w:val="24"/>
          <w:szCs w:val="24"/>
        </w:rPr>
        <w:t xml:space="preserve"> Uganda has the highest self-employment rate on the planet, followed cl</w:t>
      </w:r>
      <w:r>
        <w:rPr>
          <w:rFonts w:cstheme="minorHAnsi"/>
          <w:sz w:val="24"/>
          <w:szCs w:val="24"/>
        </w:rPr>
        <w:t>osely by countries such as Peru, e</w:t>
      </w:r>
      <w:r w:rsidRPr="007D0290">
        <w:rPr>
          <w:rFonts w:cstheme="minorHAnsi"/>
          <w:sz w:val="24"/>
          <w:szCs w:val="24"/>
        </w:rPr>
        <w:t>ven if these two countries have many merits, they are hardly leading examples of economic productivity and dynamism.</w:t>
      </w:r>
      <w:r>
        <w:rPr>
          <w:rFonts w:cstheme="minorHAnsi"/>
          <w:sz w:val="24"/>
          <w:szCs w:val="24"/>
        </w:rPr>
        <w:t xml:space="preserve"> </w:t>
      </w:r>
      <w:r w:rsidRPr="006F713C">
        <w:rPr>
          <w:rFonts w:cstheme="minorHAnsi"/>
          <w:sz w:val="24"/>
          <w:szCs w:val="24"/>
        </w:rPr>
        <w:t xml:space="preserve">In the NSE perspective, the fundamental aspect of entrepreneurship is </w:t>
      </w:r>
      <w:r>
        <w:rPr>
          <w:rFonts w:cstheme="minorHAnsi"/>
          <w:sz w:val="24"/>
          <w:szCs w:val="24"/>
        </w:rPr>
        <w:t xml:space="preserve">not the pure number of entrepreneurial firms, but </w:t>
      </w:r>
      <w:r w:rsidRPr="006F713C">
        <w:rPr>
          <w:rFonts w:cstheme="minorHAnsi"/>
          <w:sz w:val="24"/>
          <w:szCs w:val="24"/>
        </w:rPr>
        <w:t xml:space="preserve">that </w:t>
      </w:r>
      <w:r w:rsidR="00437656">
        <w:rPr>
          <w:rFonts w:cstheme="minorHAnsi"/>
          <w:sz w:val="24"/>
          <w:szCs w:val="24"/>
        </w:rPr>
        <w:t>entrepreneurship</w:t>
      </w:r>
      <w:r w:rsidR="00437656" w:rsidRPr="006F713C">
        <w:rPr>
          <w:rFonts w:cstheme="minorHAnsi"/>
          <w:sz w:val="24"/>
          <w:szCs w:val="24"/>
        </w:rPr>
        <w:t xml:space="preserve"> </w:t>
      </w:r>
      <w:r w:rsidRPr="006F713C">
        <w:rPr>
          <w:rFonts w:cstheme="minorHAnsi"/>
          <w:sz w:val="24"/>
          <w:szCs w:val="24"/>
        </w:rPr>
        <w:t xml:space="preserve">drives productive resource allocation in countries. At the </w:t>
      </w:r>
      <w:r>
        <w:rPr>
          <w:rFonts w:cstheme="minorHAnsi"/>
          <w:sz w:val="24"/>
          <w:szCs w:val="24"/>
        </w:rPr>
        <w:t xml:space="preserve">country or national </w:t>
      </w:r>
      <w:r w:rsidRPr="006F713C">
        <w:rPr>
          <w:rFonts w:cstheme="minorHAnsi"/>
          <w:sz w:val="24"/>
          <w:szCs w:val="24"/>
        </w:rPr>
        <w:t>level, this dynamic resource reallocation drives total factor productivity, and therefore, economic growth</w:t>
      </w:r>
      <w:r>
        <w:rPr>
          <w:rFonts w:cstheme="minorHAnsi"/>
          <w:sz w:val="24"/>
          <w:szCs w:val="24"/>
        </w:rPr>
        <w:t xml:space="preserve"> (Acs, </w:t>
      </w:r>
      <w:proofErr w:type="spellStart"/>
      <w:r>
        <w:rPr>
          <w:rFonts w:cstheme="minorHAnsi"/>
          <w:sz w:val="24"/>
          <w:szCs w:val="24"/>
        </w:rPr>
        <w:t>Autio</w:t>
      </w:r>
      <w:proofErr w:type="spellEnd"/>
      <w:r>
        <w:rPr>
          <w:rFonts w:cstheme="minorHAnsi"/>
          <w:sz w:val="24"/>
          <w:szCs w:val="24"/>
        </w:rPr>
        <w:t xml:space="preserve"> &amp; </w:t>
      </w:r>
      <w:proofErr w:type="spellStart"/>
      <w:r>
        <w:rPr>
          <w:rFonts w:cstheme="minorHAnsi"/>
          <w:sz w:val="24"/>
          <w:szCs w:val="24"/>
        </w:rPr>
        <w:t>Szerb</w:t>
      </w:r>
      <w:proofErr w:type="spellEnd"/>
      <w:r>
        <w:rPr>
          <w:rFonts w:cstheme="minorHAnsi"/>
          <w:sz w:val="24"/>
          <w:szCs w:val="24"/>
        </w:rPr>
        <w:t xml:space="preserve">, 2015, p. 17). </w:t>
      </w:r>
    </w:p>
    <w:p w14:paraId="3AD5F6B5" w14:textId="35867697" w:rsidR="00E95119" w:rsidRDefault="003C7978" w:rsidP="0060328A">
      <w:pPr>
        <w:spacing w:line="276" w:lineRule="auto"/>
        <w:ind w:firstLine="708"/>
        <w:jc w:val="both"/>
        <w:rPr>
          <w:rFonts w:cstheme="minorHAnsi"/>
          <w:sz w:val="24"/>
          <w:szCs w:val="24"/>
        </w:rPr>
      </w:pPr>
      <w:r>
        <w:rPr>
          <w:rFonts w:cstheme="minorHAnsi"/>
          <w:sz w:val="24"/>
          <w:szCs w:val="24"/>
        </w:rPr>
        <w:t xml:space="preserve">They define a </w:t>
      </w:r>
      <w:r w:rsidR="00E95119">
        <w:rPr>
          <w:rFonts w:cstheme="minorHAnsi"/>
          <w:sz w:val="24"/>
          <w:szCs w:val="24"/>
        </w:rPr>
        <w:t>NSE</w:t>
      </w:r>
      <w:r>
        <w:rPr>
          <w:rFonts w:cstheme="minorHAnsi"/>
          <w:sz w:val="24"/>
          <w:szCs w:val="24"/>
        </w:rPr>
        <w:t xml:space="preserve"> as “..the dynamic, institutionally embedded interaction between entrepreneurial attitudes, activities, and aspirations, by individuals, which drives the allocation of resources through the creation and operation of new ventures” (p.479). </w:t>
      </w:r>
      <w:r w:rsidR="00E95119">
        <w:rPr>
          <w:rFonts w:cstheme="minorHAnsi"/>
          <w:sz w:val="24"/>
          <w:szCs w:val="24"/>
        </w:rPr>
        <w:t xml:space="preserve"> </w:t>
      </w:r>
      <w:r w:rsidR="009A1709">
        <w:rPr>
          <w:rFonts w:cstheme="minorHAnsi"/>
          <w:sz w:val="24"/>
          <w:szCs w:val="24"/>
        </w:rPr>
        <w:t xml:space="preserve">The central idea in the entrepreneurial process is not the pure existence of opportunities or supply of entrepreneurial talent, but how entrepreneurs get access to resources and mobilize them in order to pursue the opportunities. </w:t>
      </w:r>
      <w:r w:rsidR="00E95119">
        <w:rPr>
          <w:rFonts w:cstheme="minorHAnsi"/>
          <w:sz w:val="24"/>
          <w:szCs w:val="24"/>
        </w:rPr>
        <w:t xml:space="preserve">The dual services created by NSE are resource allocation towards productive uses and the innovative, high-growth ventures that </w:t>
      </w:r>
      <w:r w:rsidR="00E95119">
        <w:rPr>
          <w:rFonts w:cstheme="minorHAnsi"/>
          <w:sz w:val="24"/>
          <w:szCs w:val="24"/>
        </w:rPr>
        <w:lastRenderedPageBreak/>
        <w:t>drive this process. Because NSE services are created through a myriad of localized interactions between stakeholders, it is not easy to trace gaps in system performance back to specific, well-defined market and structural failures that could be addressed in a top-down mode (</w:t>
      </w:r>
      <w:proofErr w:type="spellStart"/>
      <w:r w:rsidR="00E95119">
        <w:rPr>
          <w:rFonts w:cstheme="minorHAnsi"/>
          <w:sz w:val="24"/>
          <w:szCs w:val="24"/>
        </w:rPr>
        <w:t>Autio</w:t>
      </w:r>
      <w:proofErr w:type="spellEnd"/>
      <w:r w:rsidR="00E95119">
        <w:rPr>
          <w:rFonts w:cstheme="minorHAnsi"/>
          <w:sz w:val="24"/>
          <w:szCs w:val="24"/>
        </w:rPr>
        <w:t xml:space="preserve"> and </w:t>
      </w:r>
      <w:proofErr w:type="spellStart"/>
      <w:r w:rsidR="00E95119">
        <w:rPr>
          <w:rFonts w:cstheme="minorHAnsi"/>
          <w:sz w:val="24"/>
          <w:szCs w:val="24"/>
        </w:rPr>
        <w:t>Levie</w:t>
      </w:r>
      <w:proofErr w:type="spellEnd"/>
      <w:r w:rsidR="00E95119">
        <w:rPr>
          <w:rFonts w:cstheme="minorHAnsi"/>
          <w:sz w:val="24"/>
          <w:szCs w:val="24"/>
        </w:rPr>
        <w:t xml:space="preserve">, 2015). </w:t>
      </w:r>
    </w:p>
    <w:p w14:paraId="3EF77E82" w14:textId="512E5935" w:rsidR="00C70EF9" w:rsidRDefault="003C7978" w:rsidP="0060328A">
      <w:pPr>
        <w:spacing w:line="276" w:lineRule="auto"/>
        <w:ind w:firstLine="708"/>
        <w:jc w:val="both"/>
        <w:rPr>
          <w:rFonts w:cstheme="minorHAnsi"/>
          <w:sz w:val="24"/>
          <w:szCs w:val="24"/>
        </w:rPr>
      </w:pPr>
      <w:r>
        <w:rPr>
          <w:rFonts w:cstheme="minorHAnsi"/>
          <w:sz w:val="24"/>
          <w:szCs w:val="24"/>
        </w:rPr>
        <w:t xml:space="preserve">The </w:t>
      </w:r>
      <w:r w:rsidRPr="00983F57">
        <w:rPr>
          <w:rFonts w:cstheme="minorHAnsi"/>
          <w:sz w:val="24"/>
          <w:szCs w:val="24"/>
        </w:rPr>
        <w:t>entrepreneur</w:t>
      </w:r>
      <w:r w:rsidR="00FD4BCB">
        <w:rPr>
          <w:rFonts w:cstheme="minorHAnsi"/>
          <w:sz w:val="24"/>
          <w:szCs w:val="24"/>
        </w:rPr>
        <w:t>ial process</w:t>
      </w:r>
      <w:r w:rsidRPr="00983F57">
        <w:rPr>
          <w:rFonts w:cstheme="minorHAnsi"/>
          <w:sz w:val="24"/>
          <w:szCs w:val="24"/>
        </w:rPr>
        <w:t xml:space="preserve"> is embedded action</w:t>
      </w:r>
      <w:r w:rsidR="00F072D3">
        <w:rPr>
          <w:rFonts w:cstheme="minorHAnsi"/>
          <w:sz w:val="24"/>
          <w:szCs w:val="24"/>
        </w:rPr>
        <w:t>—b</w:t>
      </w:r>
      <w:r w:rsidRPr="00983F57">
        <w:rPr>
          <w:rFonts w:cstheme="minorHAnsi"/>
          <w:sz w:val="24"/>
          <w:szCs w:val="24"/>
        </w:rPr>
        <w:t>oth the individual and the context matter. What is needed, therefore, is a systemic understanding of the entrepreneurial process. The NSE approach seeks to address this gap.</w:t>
      </w:r>
      <w:r>
        <w:rPr>
          <w:rFonts w:cstheme="minorHAnsi"/>
          <w:sz w:val="24"/>
          <w:szCs w:val="24"/>
        </w:rPr>
        <w:t xml:space="preserve"> To achieve this outcome the </w:t>
      </w:r>
      <w:r w:rsidRPr="00983F57">
        <w:rPr>
          <w:rFonts w:cstheme="minorHAnsi"/>
          <w:sz w:val="24"/>
          <w:szCs w:val="24"/>
        </w:rPr>
        <w:t xml:space="preserve">Global Entrepreneurship </w:t>
      </w:r>
      <w:r w:rsidR="0001239B">
        <w:rPr>
          <w:rFonts w:cstheme="minorHAnsi"/>
          <w:sz w:val="24"/>
          <w:szCs w:val="24"/>
        </w:rPr>
        <w:t xml:space="preserve">and Development </w:t>
      </w:r>
      <w:r w:rsidRPr="00983F57">
        <w:rPr>
          <w:rFonts w:cstheme="minorHAnsi"/>
          <w:sz w:val="24"/>
          <w:szCs w:val="24"/>
        </w:rPr>
        <w:t xml:space="preserve">Index </w:t>
      </w:r>
      <w:r w:rsidR="00F072D3">
        <w:rPr>
          <w:rFonts w:cstheme="minorHAnsi"/>
          <w:sz w:val="24"/>
          <w:szCs w:val="24"/>
        </w:rPr>
        <w:t>(</w:t>
      </w:r>
      <w:r w:rsidR="0001239B">
        <w:rPr>
          <w:rFonts w:cstheme="minorHAnsi"/>
          <w:sz w:val="24"/>
          <w:szCs w:val="24"/>
        </w:rPr>
        <w:t>G</w:t>
      </w:r>
      <w:r w:rsidRPr="00983F57">
        <w:rPr>
          <w:rFonts w:cstheme="minorHAnsi"/>
          <w:sz w:val="24"/>
          <w:szCs w:val="24"/>
        </w:rPr>
        <w:t>EDI)</w:t>
      </w:r>
      <w:r>
        <w:rPr>
          <w:rFonts w:cstheme="minorHAnsi"/>
          <w:sz w:val="24"/>
          <w:szCs w:val="24"/>
        </w:rPr>
        <w:t xml:space="preserve"> </w:t>
      </w:r>
      <w:r w:rsidRPr="00983F57">
        <w:rPr>
          <w:rFonts w:cstheme="minorHAnsi"/>
          <w:sz w:val="24"/>
          <w:szCs w:val="24"/>
        </w:rPr>
        <w:t>draws on the Global Entrepreneurship Monitor (GEM) data and the NSE philosophy to compile a multi-item index for profiling NSEs in different countries. The index is made up of ‘pillars’, which reflect ‘attitudes’, ‘</w:t>
      </w:r>
      <w:r w:rsidR="004A0266">
        <w:rPr>
          <w:rFonts w:cstheme="minorHAnsi"/>
          <w:sz w:val="24"/>
          <w:szCs w:val="24"/>
        </w:rPr>
        <w:t>abilities</w:t>
      </w:r>
      <w:r w:rsidR="004A0266" w:rsidRPr="00983F57">
        <w:rPr>
          <w:rFonts w:cstheme="minorHAnsi"/>
          <w:sz w:val="24"/>
          <w:szCs w:val="24"/>
        </w:rPr>
        <w:t>’</w:t>
      </w:r>
      <w:r w:rsidRPr="00983F57">
        <w:rPr>
          <w:rFonts w:cstheme="minorHAnsi"/>
          <w:sz w:val="24"/>
          <w:szCs w:val="24"/>
        </w:rPr>
        <w:t>, and ‘aspirations’, respectively.</w:t>
      </w:r>
      <w:r>
        <w:rPr>
          <w:rFonts w:cstheme="minorHAnsi"/>
          <w:sz w:val="24"/>
          <w:szCs w:val="24"/>
        </w:rPr>
        <w:t xml:space="preserve"> </w:t>
      </w:r>
      <w:r w:rsidRPr="00983F57">
        <w:rPr>
          <w:rFonts w:cstheme="minorHAnsi"/>
          <w:sz w:val="24"/>
          <w:szCs w:val="24"/>
        </w:rPr>
        <w:t xml:space="preserve">Each pillar combines an individual-level aggregate from the GEM data (for example, national percentage of individuals who perceive skills for entrepreneurship) with a matching measure of a national descriptor (for example, gross </w:t>
      </w:r>
      <w:r w:rsidR="00A524A0" w:rsidRPr="00983F57">
        <w:rPr>
          <w:rFonts w:cstheme="minorHAnsi"/>
          <w:sz w:val="24"/>
          <w:szCs w:val="24"/>
        </w:rPr>
        <w:t>enrolment</w:t>
      </w:r>
      <w:r w:rsidRPr="00983F57">
        <w:rPr>
          <w:rFonts w:cstheme="minorHAnsi"/>
          <w:sz w:val="24"/>
          <w:szCs w:val="24"/>
        </w:rPr>
        <w:t xml:space="preserve"> in tertiary education). </w:t>
      </w:r>
    </w:p>
    <w:p w14:paraId="1CD0176A" w14:textId="7611B072" w:rsidR="005F5BBD" w:rsidRDefault="005F5BBD" w:rsidP="0060328A">
      <w:pPr>
        <w:spacing w:line="276" w:lineRule="auto"/>
        <w:ind w:firstLine="720"/>
        <w:jc w:val="both"/>
        <w:rPr>
          <w:rFonts w:cstheme="minorHAnsi"/>
          <w:sz w:val="24"/>
          <w:szCs w:val="24"/>
        </w:rPr>
      </w:pPr>
      <w:r>
        <w:rPr>
          <w:rFonts w:cstheme="minorHAnsi"/>
          <w:sz w:val="24"/>
          <w:szCs w:val="24"/>
        </w:rPr>
        <w:t>The key idea behind NSE is the complementarity across the pillars and sub pillars of variables</w:t>
      </w:r>
      <w:r w:rsidR="009A1709">
        <w:rPr>
          <w:rFonts w:cstheme="minorHAnsi"/>
          <w:sz w:val="24"/>
          <w:szCs w:val="24"/>
        </w:rPr>
        <w:t xml:space="preserve">: </w:t>
      </w:r>
      <w:r>
        <w:rPr>
          <w:rFonts w:cstheme="minorHAnsi"/>
          <w:sz w:val="24"/>
          <w:szCs w:val="24"/>
        </w:rPr>
        <w:t xml:space="preserve"> </w:t>
      </w:r>
      <w:r w:rsidR="009A1709">
        <w:rPr>
          <w:rFonts w:cstheme="minorHAnsi"/>
          <w:sz w:val="24"/>
          <w:szCs w:val="24"/>
        </w:rPr>
        <w:t>abilities</w:t>
      </w:r>
      <w:r>
        <w:rPr>
          <w:rFonts w:cstheme="minorHAnsi"/>
          <w:sz w:val="24"/>
          <w:szCs w:val="24"/>
        </w:rPr>
        <w:t>, attitudes, and aspirations, non-convexity in the set of available choices, and non-concavity in the relationships between choice and performance</w:t>
      </w:r>
      <w:r w:rsidRPr="007640A0">
        <w:rPr>
          <w:rFonts w:cstheme="minorHAnsi"/>
          <w:sz w:val="24"/>
          <w:szCs w:val="24"/>
        </w:rPr>
        <w:t xml:space="preserve"> </w:t>
      </w:r>
      <w:r>
        <w:rPr>
          <w:rFonts w:cstheme="minorHAnsi"/>
          <w:sz w:val="24"/>
          <w:szCs w:val="24"/>
        </w:rPr>
        <w:t xml:space="preserve">(Roberts, 2004, p. 34f). </w:t>
      </w:r>
      <w:r w:rsidRPr="00C0130C">
        <w:rPr>
          <w:rFonts w:cstheme="minorHAnsi"/>
          <w:sz w:val="24"/>
          <w:szCs w:val="24"/>
        </w:rPr>
        <w:t>The concept of complementar</w:t>
      </w:r>
      <w:r>
        <w:rPr>
          <w:rFonts w:cstheme="minorHAnsi"/>
          <w:sz w:val="24"/>
          <w:szCs w:val="24"/>
        </w:rPr>
        <w:t>it</w:t>
      </w:r>
      <w:r w:rsidRPr="00C0130C">
        <w:rPr>
          <w:rFonts w:cstheme="minorHAnsi"/>
          <w:sz w:val="24"/>
          <w:szCs w:val="24"/>
        </w:rPr>
        <w:t>y in its simplest way is the interaction of two variables. Two choice variables are complements, when doing more of one of them increases the returns to doing the other. In contrast, activities are substitutes if doing more of one reduces the attractiveness of the</w:t>
      </w:r>
      <w:r w:rsidR="0023056F">
        <w:rPr>
          <w:rFonts w:cstheme="minorHAnsi"/>
          <w:sz w:val="24"/>
          <w:szCs w:val="24"/>
        </w:rPr>
        <w:t xml:space="preserve"> other.</w:t>
      </w:r>
      <w:r w:rsidRPr="00E95119">
        <w:rPr>
          <w:rFonts w:cstheme="minorHAnsi"/>
          <w:sz w:val="24"/>
          <w:szCs w:val="24"/>
        </w:rPr>
        <w:t xml:space="preserve"> </w:t>
      </w:r>
      <w:r w:rsidRPr="00391A6E">
        <w:rPr>
          <w:rFonts w:cstheme="minorHAnsi"/>
          <w:sz w:val="24"/>
          <w:szCs w:val="24"/>
        </w:rPr>
        <w:t xml:space="preserve">While there may be multiple coherent patterns for complementary features, what typically </w:t>
      </w:r>
      <w:r>
        <w:rPr>
          <w:rFonts w:cstheme="minorHAnsi"/>
          <w:sz w:val="24"/>
          <w:szCs w:val="24"/>
        </w:rPr>
        <w:t xml:space="preserve">does </w:t>
      </w:r>
      <w:r w:rsidRPr="00391A6E">
        <w:rPr>
          <w:rFonts w:cstheme="minorHAnsi"/>
          <w:sz w:val="24"/>
          <w:szCs w:val="24"/>
        </w:rPr>
        <w:t xml:space="preserve">not work is a “mix and match” (Roberts, 2004, p. 39) among elements of different pillars and sub pillars. </w:t>
      </w:r>
    </w:p>
    <w:p w14:paraId="09A78703" w14:textId="0DDFCA51" w:rsidR="005F5BBD" w:rsidRDefault="005F5BBD" w:rsidP="0060328A">
      <w:pPr>
        <w:spacing w:line="276" w:lineRule="auto"/>
        <w:ind w:firstLine="720"/>
        <w:jc w:val="both"/>
        <w:rPr>
          <w:rFonts w:cstheme="minorHAnsi"/>
          <w:sz w:val="24"/>
          <w:szCs w:val="24"/>
        </w:rPr>
      </w:pPr>
      <w:r w:rsidRPr="00983F57">
        <w:rPr>
          <w:rFonts w:cstheme="minorHAnsi"/>
          <w:sz w:val="24"/>
          <w:szCs w:val="24"/>
        </w:rPr>
        <w:t xml:space="preserve">The GEI applies a </w:t>
      </w:r>
      <w:r>
        <w:rPr>
          <w:rFonts w:cstheme="minorHAnsi"/>
          <w:sz w:val="24"/>
          <w:szCs w:val="24"/>
        </w:rPr>
        <w:t>‘</w:t>
      </w:r>
      <w:r w:rsidRPr="00983F57">
        <w:rPr>
          <w:rFonts w:cstheme="minorHAnsi"/>
          <w:sz w:val="24"/>
          <w:szCs w:val="24"/>
        </w:rPr>
        <w:t xml:space="preserve">Penalty </w:t>
      </w:r>
      <w:r>
        <w:rPr>
          <w:rFonts w:cstheme="minorHAnsi"/>
          <w:sz w:val="24"/>
          <w:szCs w:val="24"/>
        </w:rPr>
        <w:t>for</w:t>
      </w:r>
      <w:r w:rsidRPr="00983F57">
        <w:rPr>
          <w:rFonts w:cstheme="minorHAnsi"/>
          <w:sz w:val="24"/>
          <w:szCs w:val="24"/>
        </w:rPr>
        <w:t xml:space="preserve"> Bottleneck</w:t>
      </w:r>
      <w:r>
        <w:rPr>
          <w:rFonts w:cstheme="minorHAnsi"/>
          <w:sz w:val="24"/>
          <w:szCs w:val="24"/>
        </w:rPr>
        <w:t>’</w:t>
      </w:r>
      <w:r w:rsidRPr="00983F57">
        <w:rPr>
          <w:rFonts w:cstheme="minorHAnsi"/>
          <w:sz w:val="24"/>
          <w:szCs w:val="24"/>
        </w:rPr>
        <w:t xml:space="preserve"> algorithm: if there are poorly performing pillars, other pillar values are ‘penalized’ to reflect the notion that the poorly performing pillar may constitute a bottleneck for system performance. With this Penalty for Bottleneck algorithm, it is possible to start ‘optimizing’ policy portfolios – that is determine how policy resources should be allocated </w:t>
      </w:r>
      <w:r>
        <w:rPr>
          <w:rFonts w:cstheme="minorHAnsi"/>
          <w:sz w:val="24"/>
          <w:szCs w:val="24"/>
        </w:rPr>
        <w:t>as</w:t>
      </w:r>
      <w:r w:rsidRPr="00983F57">
        <w:rPr>
          <w:rFonts w:cstheme="minorHAnsi"/>
          <w:sz w:val="24"/>
          <w:szCs w:val="24"/>
        </w:rPr>
        <w:t xml:space="preserve"> policies should always seek to address the most weakly performing pillars first.</w:t>
      </w:r>
      <w:r>
        <w:rPr>
          <w:rFonts w:cstheme="minorHAnsi"/>
          <w:sz w:val="24"/>
          <w:szCs w:val="24"/>
        </w:rPr>
        <w:t xml:space="preserve"> </w:t>
      </w:r>
    </w:p>
    <w:p w14:paraId="5F28D4B1" w14:textId="77777777" w:rsidR="005F5BBD" w:rsidRDefault="005F5BBD" w:rsidP="0060328A">
      <w:pPr>
        <w:spacing w:line="276" w:lineRule="auto"/>
        <w:ind w:firstLine="720"/>
        <w:jc w:val="both"/>
        <w:rPr>
          <w:rFonts w:cstheme="minorHAnsi"/>
          <w:sz w:val="24"/>
          <w:szCs w:val="24"/>
        </w:rPr>
      </w:pPr>
      <w:r w:rsidRPr="00983F57">
        <w:rPr>
          <w:rFonts w:cstheme="minorHAnsi"/>
          <w:sz w:val="24"/>
          <w:szCs w:val="24"/>
        </w:rPr>
        <w:t xml:space="preserve">Therefore, the main emphasis of policy should be on identifying system-level bottlenecks and alleviating them. A corollary of the above is that we may be able to improve system-level performance by smart (re)allocation of resources. However, to do this successfully, one needs to understand the </w:t>
      </w:r>
      <w:r>
        <w:rPr>
          <w:rFonts w:cstheme="minorHAnsi"/>
          <w:sz w:val="24"/>
          <w:szCs w:val="24"/>
        </w:rPr>
        <w:t xml:space="preserve">complementarity, the </w:t>
      </w:r>
      <w:r w:rsidRPr="00983F57">
        <w:rPr>
          <w:rFonts w:cstheme="minorHAnsi"/>
          <w:sz w:val="24"/>
          <w:szCs w:val="24"/>
        </w:rPr>
        <w:t>relative strengths and weaknesses of the multiple factors that make up the system.</w:t>
      </w:r>
      <w:r>
        <w:rPr>
          <w:rFonts w:cstheme="minorHAnsi"/>
          <w:sz w:val="24"/>
          <w:szCs w:val="24"/>
        </w:rPr>
        <w:t xml:space="preserve">  </w:t>
      </w:r>
    </w:p>
    <w:p w14:paraId="49101183" w14:textId="58A5026A" w:rsidR="000723F2" w:rsidRDefault="005F5BBD" w:rsidP="0060328A">
      <w:pPr>
        <w:spacing w:line="276" w:lineRule="auto"/>
        <w:ind w:firstLine="720"/>
        <w:jc w:val="both"/>
        <w:rPr>
          <w:rFonts w:cstheme="minorHAnsi"/>
          <w:sz w:val="24"/>
          <w:szCs w:val="24"/>
        </w:rPr>
      </w:pPr>
      <w:r>
        <w:rPr>
          <w:rFonts w:cstheme="minorHAnsi"/>
          <w:sz w:val="24"/>
          <w:szCs w:val="24"/>
        </w:rPr>
        <w:t xml:space="preserve">The NSE provides a framework for policy makers identifying coherent patterns and relationships among key variables. NSE is complex socioeconomic structures that are bought to life by individual level action. This action is embedded in multipolar interactions between </w:t>
      </w:r>
    </w:p>
    <w:p w14:paraId="6EEB480F" w14:textId="77777777" w:rsidR="0023056F" w:rsidRDefault="0023056F" w:rsidP="0060328A">
      <w:pPr>
        <w:spacing w:line="276" w:lineRule="auto"/>
        <w:jc w:val="both"/>
        <w:rPr>
          <w:rFonts w:cstheme="minorHAnsi"/>
          <w:sz w:val="24"/>
          <w:szCs w:val="24"/>
        </w:rPr>
      </w:pPr>
      <w:r>
        <w:rPr>
          <w:rFonts w:cstheme="minorHAnsi"/>
          <w:sz w:val="24"/>
          <w:szCs w:val="24"/>
        </w:rPr>
        <w:t xml:space="preserve">individual and organizational stakeholders that make up the system, and it is expressed through the creation and operation of new ventures. Table 1 presents structure of the index. The full list of both the individual and institutional variables is provided in the Appendix.  </w:t>
      </w:r>
    </w:p>
    <w:p w14:paraId="32E7E3B9" w14:textId="77777777" w:rsidR="000D468C" w:rsidRDefault="000D468C" w:rsidP="00C64AEE">
      <w:pPr>
        <w:spacing w:line="276" w:lineRule="auto"/>
        <w:jc w:val="both"/>
        <w:rPr>
          <w:rFonts w:cstheme="minorHAnsi"/>
          <w:sz w:val="24"/>
          <w:szCs w:val="24"/>
        </w:rPr>
      </w:pPr>
    </w:p>
    <w:tbl>
      <w:tblPr>
        <w:tblpPr w:leftFromText="180" w:rightFromText="180" w:horzAnchor="margin" w:tblpY="555"/>
        <w:tblW w:w="5000" w:type="pct"/>
        <w:tblCellMar>
          <w:left w:w="0" w:type="dxa"/>
          <w:right w:w="0" w:type="dxa"/>
        </w:tblCellMar>
        <w:tblLook w:val="00A0" w:firstRow="1" w:lastRow="0" w:firstColumn="1" w:lastColumn="0" w:noHBand="0" w:noVBand="0"/>
      </w:tblPr>
      <w:tblGrid>
        <w:gridCol w:w="323"/>
        <w:gridCol w:w="323"/>
        <w:gridCol w:w="323"/>
        <w:gridCol w:w="320"/>
        <w:gridCol w:w="325"/>
        <w:gridCol w:w="322"/>
        <w:gridCol w:w="325"/>
        <w:gridCol w:w="322"/>
        <w:gridCol w:w="325"/>
        <w:gridCol w:w="322"/>
        <w:gridCol w:w="26"/>
        <w:gridCol w:w="325"/>
        <w:gridCol w:w="322"/>
        <w:gridCol w:w="325"/>
        <w:gridCol w:w="322"/>
        <w:gridCol w:w="325"/>
        <w:gridCol w:w="322"/>
        <w:gridCol w:w="325"/>
        <w:gridCol w:w="322"/>
        <w:gridCol w:w="26"/>
        <w:gridCol w:w="325"/>
        <w:gridCol w:w="322"/>
        <w:gridCol w:w="325"/>
        <w:gridCol w:w="322"/>
        <w:gridCol w:w="325"/>
        <w:gridCol w:w="322"/>
        <w:gridCol w:w="325"/>
        <w:gridCol w:w="322"/>
        <w:gridCol w:w="325"/>
        <w:gridCol w:w="307"/>
      </w:tblGrid>
      <w:tr w:rsidR="000723F2" w:rsidRPr="00B521E1" w14:paraId="79F283DB" w14:textId="77777777" w:rsidTr="00507863">
        <w:trPr>
          <w:trHeight w:val="484"/>
        </w:trPr>
        <w:tc>
          <w:tcPr>
            <w:tcW w:w="5000" w:type="pct"/>
            <w:gridSpan w:val="30"/>
            <w:tcBorders>
              <w:top w:val="single" w:sz="8" w:space="0" w:color="000000"/>
              <w:left w:val="single" w:sz="8" w:space="0" w:color="000000"/>
              <w:right w:val="single" w:sz="8" w:space="0" w:color="000000"/>
            </w:tcBorders>
            <w:shd w:val="clear" w:color="auto" w:fill="002087" w:themeFill="accent1"/>
            <w:vAlign w:val="center"/>
          </w:tcPr>
          <w:p w14:paraId="719B9D68" w14:textId="77777777" w:rsidR="000723F2" w:rsidRPr="00901D18" w:rsidRDefault="000723F2" w:rsidP="0060328A">
            <w:pPr>
              <w:pStyle w:val="GEDIbooktablefigure"/>
              <w:spacing w:line="276" w:lineRule="auto"/>
              <w:jc w:val="both"/>
              <w:rPr>
                <w:rFonts w:asciiTheme="minorHAnsi" w:hAnsiTheme="minorHAnsi"/>
                <w:color w:val="FFFFFF" w:themeColor="background1"/>
                <w:sz w:val="22"/>
              </w:rPr>
            </w:pPr>
            <w:r w:rsidRPr="00901D18">
              <w:rPr>
                <w:rFonts w:asciiTheme="minorHAnsi" w:hAnsiTheme="minorHAnsi"/>
                <w:sz w:val="22"/>
              </w:rPr>
              <w:lastRenderedPageBreak/>
              <w:br w:type="page"/>
            </w:r>
            <w:bookmarkStart w:id="24" w:name="_Toc398728090"/>
            <w:r w:rsidRPr="00901D18">
              <w:rPr>
                <w:rFonts w:asciiTheme="minorHAnsi" w:hAnsiTheme="minorHAnsi"/>
                <w:color w:val="FFFFFF" w:themeColor="background1"/>
              </w:rPr>
              <w:t>The Global Entrepreneurship Index</w:t>
            </w:r>
            <w:bookmarkEnd w:id="24"/>
            <w:r w:rsidRPr="00901D18">
              <w:rPr>
                <w:rFonts w:asciiTheme="minorHAnsi" w:hAnsiTheme="minorHAnsi"/>
                <w:color w:val="FFFFFF" w:themeColor="background1"/>
              </w:rPr>
              <w:t xml:space="preserve"> (GEI</w:t>
            </w:r>
            <w:r w:rsidRPr="00901D18">
              <w:rPr>
                <w:rFonts w:asciiTheme="minorHAnsi" w:hAnsiTheme="minorHAnsi"/>
                <w:color w:val="FFFFFF" w:themeColor="background1"/>
                <w:sz w:val="22"/>
              </w:rPr>
              <w:t>)</w:t>
            </w:r>
          </w:p>
        </w:tc>
      </w:tr>
      <w:tr w:rsidR="000723F2" w:rsidRPr="00B521E1" w14:paraId="624CB137" w14:textId="77777777" w:rsidTr="00507863">
        <w:trPr>
          <w:trHeight w:val="720"/>
        </w:trPr>
        <w:tc>
          <w:tcPr>
            <w:tcW w:w="1778" w:type="pct"/>
            <w:gridSpan w:val="10"/>
            <w:tcBorders>
              <w:left w:val="single" w:sz="8" w:space="0" w:color="000000"/>
              <w:bottom w:val="single" w:sz="8" w:space="0" w:color="000000"/>
              <w:right w:val="single" w:sz="8" w:space="0" w:color="000000"/>
            </w:tcBorders>
            <w:vAlign w:val="center"/>
          </w:tcPr>
          <w:p w14:paraId="67B96A1C" w14:textId="77777777" w:rsidR="000723F2" w:rsidRPr="00901D18" w:rsidRDefault="000723F2" w:rsidP="0060328A">
            <w:pPr>
              <w:spacing w:line="276" w:lineRule="auto"/>
              <w:jc w:val="both"/>
              <w:rPr>
                <w:rFonts w:asciiTheme="minorHAnsi" w:hAnsiTheme="minorHAnsi"/>
                <w:b/>
                <w:sz w:val="22"/>
              </w:rPr>
            </w:pPr>
            <w:r w:rsidRPr="00901D18">
              <w:rPr>
                <w:rFonts w:asciiTheme="minorHAnsi" w:hAnsiTheme="minorHAnsi"/>
                <w:b/>
                <w:sz w:val="22"/>
              </w:rPr>
              <w:t>Attitudes Sub-Index</w:t>
            </w:r>
          </w:p>
        </w:tc>
        <w:tc>
          <w:tcPr>
            <w:tcW w:w="13" w:type="pct"/>
            <w:tcBorders>
              <w:left w:val="nil"/>
              <w:bottom w:val="nil"/>
              <w:right w:val="nil"/>
            </w:tcBorders>
            <w:shd w:val="clear" w:color="auto" w:fill="auto"/>
            <w:vAlign w:val="center"/>
          </w:tcPr>
          <w:p w14:paraId="4F289042" w14:textId="77777777" w:rsidR="000723F2" w:rsidRPr="00901D18" w:rsidRDefault="000723F2" w:rsidP="0060328A">
            <w:pPr>
              <w:spacing w:line="276" w:lineRule="auto"/>
              <w:jc w:val="both"/>
              <w:rPr>
                <w:rFonts w:asciiTheme="minorHAnsi" w:hAnsiTheme="minorHAnsi"/>
                <w:b/>
                <w:sz w:val="22"/>
              </w:rPr>
            </w:pPr>
          </w:p>
        </w:tc>
        <w:tc>
          <w:tcPr>
            <w:tcW w:w="1424" w:type="pct"/>
            <w:gridSpan w:val="8"/>
            <w:tcBorders>
              <w:left w:val="single" w:sz="8" w:space="0" w:color="000000"/>
              <w:bottom w:val="single" w:sz="8" w:space="0" w:color="000000"/>
              <w:right w:val="nil"/>
            </w:tcBorders>
            <w:vAlign w:val="center"/>
          </w:tcPr>
          <w:p w14:paraId="623316E1" w14:textId="77777777" w:rsidR="000723F2" w:rsidRPr="00901D18" w:rsidRDefault="000723F2" w:rsidP="0060328A">
            <w:pPr>
              <w:spacing w:line="276" w:lineRule="auto"/>
              <w:jc w:val="both"/>
              <w:rPr>
                <w:rFonts w:asciiTheme="minorHAnsi" w:hAnsiTheme="minorHAnsi"/>
                <w:b/>
                <w:sz w:val="22"/>
              </w:rPr>
            </w:pPr>
            <w:r w:rsidRPr="00901D18">
              <w:rPr>
                <w:rFonts w:asciiTheme="minorHAnsi" w:hAnsiTheme="minorHAnsi"/>
                <w:b/>
                <w:sz w:val="22"/>
              </w:rPr>
              <w:t>Abilities Sub-Index</w:t>
            </w:r>
          </w:p>
        </w:tc>
        <w:tc>
          <w:tcPr>
            <w:tcW w:w="13" w:type="pct"/>
            <w:tcBorders>
              <w:left w:val="single" w:sz="8" w:space="0" w:color="auto"/>
              <w:bottom w:val="nil"/>
              <w:right w:val="single" w:sz="8" w:space="0" w:color="000000"/>
            </w:tcBorders>
            <w:shd w:val="clear" w:color="auto" w:fill="auto"/>
            <w:vAlign w:val="center"/>
          </w:tcPr>
          <w:p w14:paraId="5D01ACF3" w14:textId="77777777" w:rsidR="000723F2" w:rsidRPr="00901D18" w:rsidRDefault="000723F2" w:rsidP="0060328A">
            <w:pPr>
              <w:spacing w:line="276" w:lineRule="auto"/>
              <w:jc w:val="both"/>
              <w:rPr>
                <w:rFonts w:asciiTheme="minorHAnsi" w:hAnsiTheme="minorHAnsi"/>
                <w:b/>
                <w:sz w:val="22"/>
              </w:rPr>
            </w:pPr>
          </w:p>
        </w:tc>
        <w:tc>
          <w:tcPr>
            <w:tcW w:w="1772" w:type="pct"/>
            <w:gridSpan w:val="10"/>
            <w:tcBorders>
              <w:left w:val="nil"/>
              <w:bottom w:val="single" w:sz="8" w:space="0" w:color="000000"/>
              <w:right w:val="single" w:sz="8" w:space="0" w:color="000000"/>
            </w:tcBorders>
            <w:vAlign w:val="center"/>
          </w:tcPr>
          <w:p w14:paraId="2454BFBE" w14:textId="77777777" w:rsidR="000723F2" w:rsidRPr="00901D18" w:rsidRDefault="000723F2" w:rsidP="0060328A">
            <w:pPr>
              <w:spacing w:line="276" w:lineRule="auto"/>
              <w:jc w:val="both"/>
              <w:rPr>
                <w:rFonts w:asciiTheme="minorHAnsi" w:hAnsiTheme="minorHAnsi"/>
                <w:b/>
                <w:sz w:val="22"/>
              </w:rPr>
            </w:pPr>
            <w:r w:rsidRPr="00901D18">
              <w:rPr>
                <w:rFonts w:asciiTheme="minorHAnsi" w:hAnsiTheme="minorHAnsi"/>
                <w:b/>
                <w:sz w:val="22"/>
              </w:rPr>
              <w:t>Aspirations Sub-Index</w:t>
            </w:r>
          </w:p>
        </w:tc>
      </w:tr>
      <w:tr w:rsidR="000723F2" w:rsidRPr="00B521E1" w14:paraId="29AC6655" w14:textId="77777777" w:rsidTr="00507863">
        <w:trPr>
          <w:cantSplit/>
          <w:trHeight w:val="2437"/>
        </w:trPr>
        <w:tc>
          <w:tcPr>
            <w:tcW w:w="356" w:type="pct"/>
            <w:gridSpan w:val="2"/>
            <w:tcBorders>
              <w:top w:val="single" w:sz="8" w:space="0" w:color="000000"/>
              <w:left w:val="single" w:sz="8" w:space="0" w:color="auto"/>
              <w:bottom w:val="single" w:sz="8" w:space="0" w:color="000000"/>
              <w:right w:val="nil"/>
            </w:tcBorders>
            <w:shd w:val="clear" w:color="auto" w:fill="B4C5FF" w:themeFill="accent1" w:themeFillTint="33"/>
            <w:textDirection w:val="btLr"/>
            <w:vAlign w:val="center"/>
          </w:tcPr>
          <w:p w14:paraId="333778FA" w14:textId="77777777" w:rsidR="000723F2" w:rsidRPr="00901D18" w:rsidRDefault="000723F2" w:rsidP="0060328A">
            <w:pPr>
              <w:spacing w:line="276" w:lineRule="auto"/>
              <w:jc w:val="both"/>
              <w:rPr>
                <w:b/>
                <w:szCs w:val="16"/>
              </w:rPr>
            </w:pPr>
            <w:r w:rsidRPr="00901D18">
              <w:rPr>
                <w:b/>
                <w:szCs w:val="16"/>
              </w:rPr>
              <w:t>OPPORTUNITY PERCEPTION</w:t>
            </w:r>
          </w:p>
        </w:tc>
        <w:tc>
          <w:tcPr>
            <w:tcW w:w="354" w:type="pct"/>
            <w:gridSpan w:val="2"/>
            <w:tcBorders>
              <w:top w:val="single" w:sz="8" w:space="0" w:color="000000"/>
              <w:left w:val="single" w:sz="8" w:space="0" w:color="000000"/>
              <w:bottom w:val="single" w:sz="8" w:space="0" w:color="000000"/>
              <w:right w:val="single" w:sz="8" w:space="0" w:color="000000"/>
            </w:tcBorders>
            <w:shd w:val="clear" w:color="auto" w:fill="B4C5FF" w:themeFill="accent1" w:themeFillTint="33"/>
            <w:textDirection w:val="btLr"/>
            <w:vAlign w:val="center"/>
          </w:tcPr>
          <w:p w14:paraId="7228DB2B" w14:textId="77777777" w:rsidR="000723F2" w:rsidRPr="00901D18" w:rsidRDefault="000723F2" w:rsidP="0060328A">
            <w:pPr>
              <w:spacing w:line="276" w:lineRule="auto"/>
              <w:jc w:val="both"/>
              <w:rPr>
                <w:b/>
                <w:szCs w:val="16"/>
              </w:rPr>
            </w:pPr>
            <w:r w:rsidRPr="00901D18">
              <w:rPr>
                <w:b/>
                <w:szCs w:val="16"/>
              </w:rPr>
              <w:t>STARTUP SKILLS</w:t>
            </w:r>
          </w:p>
        </w:tc>
        <w:tc>
          <w:tcPr>
            <w:tcW w:w="356" w:type="pct"/>
            <w:gridSpan w:val="2"/>
            <w:tcBorders>
              <w:top w:val="single" w:sz="8" w:space="0" w:color="000000"/>
              <w:left w:val="nil"/>
              <w:bottom w:val="single" w:sz="8" w:space="0" w:color="000000"/>
              <w:right w:val="single" w:sz="8" w:space="0" w:color="000000"/>
            </w:tcBorders>
            <w:shd w:val="clear" w:color="auto" w:fill="B4C5FF" w:themeFill="accent1" w:themeFillTint="33"/>
            <w:textDirection w:val="btLr"/>
            <w:vAlign w:val="center"/>
          </w:tcPr>
          <w:p w14:paraId="246D0459" w14:textId="77777777" w:rsidR="000723F2" w:rsidRPr="00901D18" w:rsidRDefault="000723F2" w:rsidP="0060328A">
            <w:pPr>
              <w:spacing w:line="276" w:lineRule="auto"/>
              <w:jc w:val="both"/>
              <w:rPr>
                <w:b/>
                <w:szCs w:val="16"/>
              </w:rPr>
            </w:pPr>
            <w:r w:rsidRPr="00901D18">
              <w:rPr>
                <w:b/>
                <w:szCs w:val="16"/>
              </w:rPr>
              <w:t>RISK  ACCEPTANCE</w:t>
            </w:r>
          </w:p>
        </w:tc>
        <w:tc>
          <w:tcPr>
            <w:tcW w:w="356" w:type="pct"/>
            <w:gridSpan w:val="2"/>
            <w:tcBorders>
              <w:top w:val="single" w:sz="8" w:space="0" w:color="000000"/>
              <w:left w:val="nil"/>
              <w:bottom w:val="single" w:sz="8" w:space="0" w:color="000000"/>
              <w:right w:val="single" w:sz="8" w:space="0" w:color="000000"/>
            </w:tcBorders>
            <w:shd w:val="clear" w:color="auto" w:fill="B4C5FF" w:themeFill="accent1" w:themeFillTint="33"/>
            <w:textDirection w:val="btLr"/>
            <w:vAlign w:val="center"/>
          </w:tcPr>
          <w:p w14:paraId="054C8A40" w14:textId="77777777" w:rsidR="000723F2" w:rsidRPr="00901D18" w:rsidRDefault="000723F2" w:rsidP="0060328A">
            <w:pPr>
              <w:spacing w:line="276" w:lineRule="auto"/>
              <w:jc w:val="both"/>
              <w:rPr>
                <w:b/>
                <w:szCs w:val="16"/>
              </w:rPr>
            </w:pPr>
            <w:r w:rsidRPr="00901D18">
              <w:rPr>
                <w:b/>
                <w:szCs w:val="16"/>
              </w:rPr>
              <w:t>NETWORKING</w:t>
            </w:r>
          </w:p>
        </w:tc>
        <w:tc>
          <w:tcPr>
            <w:tcW w:w="356" w:type="pct"/>
            <w:gridSpan w:val="2"/>
            <w:tcBorders>
              <w:top w:val="single" w:sz="8" w:space="0" w:color="000000"/>
              <w:left w:val="nil"/>
              <w:bottom w:val="single" w:sz="8" w:space="0" w:color="000000"/>
              <w:right w:val="single" w:sz="8" w:space="0" w:color="000000"/>
            </w:tcBorders>
            <w:shd w:val="clear" w:color="auto" w:fill="B4C5FF" w:themeFill="accent1" w:themeFillTint="33"/>
            <w:textDirection w:val="btLr"/>
            <w:vAlign w:val="center"/>
          </w:tcPr>
          <w:p w14:paraId="64606A67" w14:textId="77777777" w:rsidR="000723F2" w:rsidRPr="00901D18" w:rsidRDefault="000723F2" w:rsidP="0060328A">
            <w:pPr>
              <w:spacing w:line="276" w:lineRule="auto"/>
              <w:jc w:val="both"/>
              <w:rPr>
                <w:b/>
                <w:szCs w:val="16"/>
              </w:rPr>
            </w:pPr>
            <w:r w:rsidRPr="00901D18">
              <w:rPr>
                <w:b/>
                <w:szCs w:val="16"/>
              </w:rPr>
              <w:t>CULTURAL SUPPORT</w:t>
            </w:r>
          </w:p>
        </w:tc>
        <w:tc>
          <w:tcPr>
            <w:tcW w:w="13" w:type="pct"/>
            <w:tcBorders>
              <w:top w:val="nil"/>
              <w:left w:val="nil"/>
              <w:bottom w:val="nil"/>
              <w:right w:val="single" w:sz="8" w:space="0" w:color="auto"/>
            </w:tcBorders>
            <w:shd w:val="clear" w:color="auto" w:fill="auto"/>
            <w:textDirection w:val="tbRl"/>
            <w:vAlign w:val="center"/>
          </w:tcPr>
          <w:p w14:paraId="61DED140" w14:textId="77777777" w:rsidR="000723F2" w:rsidRPr="00901D18" w:rsidRDefault="000723F2" w:rsidP="0060328A">
            <w:pPr>
              <w:spacing w:line="276" w:lineRule="auto"/>
              <w:jc w:val="both"/>
              <w:rPr>
                <w:b/>
                <w:szCs w:val="16"/>
              </w:rPr>
            </w:pPr>
          </w:p>
        </w:tc>
        <w:tc>
          <w:tcPr>
            <w:tcW w:w="356" w:type="pct"/>
            <w:gridSpan w:val="2"/>
            <w:tcBorders>
              <w:top w:val="single" w:sz="8" w:space="0" w:color="000000"/>
              <w:left w:val="nil"/>
              <w:bottom w:val="single" w:sz="8" w:space="0" w:color="000000"/>
              <w:right w:val="single" w:sz="8" w:space="0" w:color="000000"/>
            </w:tcBorders>
            <w:shd w:val="clear" w:color="auto" w:fill="B4C5FF" w:themeFill="accent1" w:themeFillTint="33"/>
            <w:textDirection w:val="btLr"/>
            <w:vAlign w:val="center"/>
          </w:tcPr>
          <w:p w14:paraId="3C0E6A4E" w14:textId="77777777" w:rsidR="000723F2" w:rsidRPr="00901D18" w:rsidRDefault="000723F2" w:rsidP="0060328A">
            <w:pPr>
              <w:spacing w:line="276" w:lineRule="auto"/>
              <w:jc w:val="both"/>
              <w:rPr>
                <w:b/>
                <w:szCs w:val="16"/>
              </w:rPr>
            </w:pPr>
            <w:r w:rsidRPr="00901D18">
              <w:rPr>
                <w:b/>
                <w:szCs w:val="16"/>
              </w:rPr>
              <w:t>OPPORTUNITY STARTUP</w:t>
            </w:r>
          </w:p>
        </w:tc>
        <w:tc>
          <w:tcPr>
            <w:tcW w:w="356" w:type="pct"/>
            <w:gridSpan w:val="2"/>
            <w:tcBorders>
              <w:top w:val="single" w:sz="8" w:space="0" w:color="000000"/>
              <w:left w:val="nil"/>
              <w:bottom w:val="single" w:sz="8" w:space="0" w:color="000000"/>
              <w:right w:val="single" w:sz="8" w:space="0" w:color="000000"/>
            </w:tcBorders>
            <w:shd w:val="clear" w:color="auto" w:fill="B4C5FF" w:themeFill="accent1" w:themeFillTint="33"/>
            <w:textDirection w:val="btLr"/>
            <w:vAlign w:val="center"/>
          </w:tcPr>
          <w:p w14:paraId="1010F4F3" w14:textId="77777777" w:rsidR="000723F2" w:rsidRPr="00901D18" w:rsidRDefault="000723F2" w:rsidP="0060328A">
            <w:pPr>
              <w:spacing w:line="276" w:lineRule="auto"/>
              <w:jc w:val="both"/>
              <w:rPr>
                <w:b/>
                <w:szCs w:val="16"/>
              </w:rPr>
            </w:pPr>
            <w:r w:rsidRPr="00901D18">
              <w:rPr>
                <w:b/>
                <w:szCs w:val="16"/>
              </w:rPr>
              <w:t>TECHNOLOGY ABSORPTION</w:t>
            </w:r>
          </w:p>
        </w:tc>
        <w:tc>
          <w:tcPr>
            <w:tcW w:w="356" w:type="pct"/>
            <w:gridSpan w:val="2"/>
            <w:tcBorders>
              <w:top w:val="single" w:sz="8" w:space="0" w:color="000000"/>
              <w:left w:val="nil"/>
              <w:bottom w:val="single" w:sz="8" w:space="0" w:color="000000"/>
              <w:right w:val="single" w:sz="8" w:space="0" w:color="000000"/>
            </w:tcBorders>
            <w:shd w:val="clear" w:color="auto" w:fill="B4C5FF" w:themeFill="accent1" w:themeFillTint="33"/>
            <w:textDirection w:val="btLr"/>
            <w:vAlign w:val="center"/>
          </w:tcPr>
          <w:p w14:paraId="7591D41C" w14:textId="77777777" w:rsidR="000723F2" w:rsidRPr="00901D18" w:rsidRDefault="000723F2" w:rsidP="0060328A">
            <w:pPr>
              <w:spacing w:line="276" w:lineRule="auto"/>
              <w:jc w:val="both"/>
              <w:rPr>
                <w:b/>
                <w:szCs w:val="16"/>
              </w:rPr>
            </w:pPr>
            <w:r w:rsidRPr="00901D18">
              <w:rPr>
                <w:b/>
                <w:szCs w:val="16"/>
              </w:rPr>
              <w:t>HUMAN CAPITAL</w:t>
            </w:r>
          </w:p>
        </w:tc>
        <w:tc>
          <w:tcPr>
            <w:tcW w:w="356" w:type="pct"/>
            <w:gridSpan w:val="2"/>
            <w:tcBorders>
              <w:top w:val="single" w:sz="8" w:space="0" w:color="000000"/>
              <w:left w:val="nil"/>
              <w:bottom w:val="single" w:sz="8" w:space="0" w:color="000000"/>
              <w:right w:val="nil"/>
            </w:tcBorders>
            <w:shd w:val="clear" w:color="auto" w:fill="B4C5FF" w:themeFill="accent1" w:themeFillTint="33"/>
            <w:textDirection w:val="btLr"/>
            <w:vAlign w:val="center"/>
          </w:tcPr>
          <w:p w14:paraId="76831B19" w14:textId="77777777" w:rsidR="000723F2" w:rsidRPr="00901D18" w:rsidRDefault="000723F2" w:rsidP="0060328A">
            <w:pPr>
              <w:spacing w:line="276" w:lineRule="auto"/>
              <w:jc w:val="both"/>
              <w:rPr>
                <w:b/>
                <w:szCs w:val="16"/>
              </w:rPr>
            </w:pPr>
            <w:r w:rsidRPr="00901D18">
              <w:rPr>
                <w:b/>
                <w:szCs w:val="16"/>
              </w:rPr>
              <w:t>COMPETITION</w:t>
            </w:r>
          </w:p>
        </w:tc>
        <w:tc>
          <w:tcPr>
            <w:tcW w:w="13" w:type="pct"/>
            <w:tcBorders>
              <w:top w:val="nil"/>
              <w:left w:val="single" w:sz="8" w:space="0" w:color="auto"/>
              <w:bottom w:val="nil"/>
              <w:right w:val="single" w:sz="8" w:space="0" w:color="000000"/>
            </w:tcBorders>
            <w:shd w:val="clear" w:color="auto" w:fill="auto"/>
            <w:textDirection w:val="btLr"/>
            <w:vAlign w:val="center"/>
          </w:tcPr>
          <w:p w14:paraId="1EB381B3" w14:textId="77777777" w:rsidR="000723F2" w:rsidRPr="00901D18" w:rsidRDefault="000723F2" w:rsidP="0060328A">
            <w:pPr>
              <w:spacing w:line="276" w:lineRule="auto"/>
              <w:jc w:val="both"/>
              <w:rPr>
                <w:b/>
                <w:szCs w:val="16"/>
              </w:rPr>
            </w:pPr>
          </w:p>
        </w:tc>
        <w:tc>
          <w:tcPr>
            <w:tcW w:w="356" w:type="pct"/>
            <w:gridSpan w:val="2"/>
            <w:tcBorders>
              <w:top w:val="single" w:sz="8" w:space="0" w:color="000000"/>
              <w:left w:val="nil"/>
              <w:bottom w:val="single" w:sz="8" w:space="0" w:color="000000"/>
              <w:right w:val="nil"/>
            </w:tcBorders>
            <w:shd w:val="clear" w:color="auto" w:fill="B4C5FF" w:themeFill="accent1" w:themeFillTint="33"/>
            <w:textDirection w:val="btLr"/>
            <w:vAlign w:val="center"/>
          </w:tcPr>
          <w:p w14:paraId="67836DFE" w14:textId="77777777" w:rsidR="000723F2" w:rsidRPr="00901D18" w:rsidRDefault="000723F2" w:rsidP="0060328A">
            <w:pPr>
              <w:spacing w:line="276" w:lineRule="auto"/>
              <w:jc w:val="both"/>
              <w:rPr>
                <w:b/>
                <w:szCs w:val="16"/>
              </w:rPr>
            </w:pPr>
            <w:r w:rsidRPr="00901D18">
              <w:rPr>
                <w:b/>
                <w:szCs w:val="16"/>
              </w:rPr>
              <w:t>PRODUCT INNOVATION</w:t>
            </w:r>
          </w:p>
        </w:tc>
        <w:tc>
          <w:tcPr>
            <w:tcW w:w="356" w:type="pct"/>
            <w:gridSpan w:val="2"/>
            <w:tcBorders>
              <w:top w:val="single" w:sz="8" w:space="0" w:color="000000"/>
              <w:left w:val="single" w:sz="8" w:space="0" w:color="000000"/>
              <w:bottom w:val="single" w:sz="8" w:space="0" w:color="000000"/>
              <w:right w:val="nil"/>
            </w:tcBorders>
            <w:shd w:val="clear" w:color="auto" w:fill="B4C5FF" w:themeFill="accent1" w:themeFillTint="33"/>
            <w:textDirection w:val="btLr"/>
            <w:vAlign w:val="center"/>
          </w:tcPr>
          <w:p w14:paraId="381F8B6E" w14:textId="77777777" w:rsidR="000723F2" w:rsidRPr="00901D18" w:rsidRDefault="000723F2" w:rsidP="0060328A">
            <w:pPr>
              <w:spacing w:line="276" w:lineRule="auto"/>
              <w:jc w:val="both"/>
              <w:rPr>
                <w:b/>
                <w:szCs w:val="16"/>
              </w:rPr>
            </w:pPr>
            <w:r w:rsidRPr="00901D18">
              <w:rPr>
                <w:b/>
                <w:szCs w:val="16"/>
              </w:rPr>
              <w:t>PROCESS INNOVATION</w:t>
            </w:r>
          </w:p>
        </w:tc>
        <w:tc>
          <w:tcPr>
            <w:tcW w:w="356" w:type="pct"/>
            <w:gridSpan w:val="2"/>
            <w:tcBorders>
              <w:top w:val="single" w:sz="8" w:space="0" w:color="000000"/>
              <w:left w:val="single" w:sz="8" w:space="0" w:color="000000"/>
              <w:bottom w:val="single" w:sz="8" w:space="0" w:color="000000"/>
              <w:right w:val="nil"/>
            </w:tcBorders>
            <w:shd w:val="clear" w:color="auto" w:fill="B4C5FF" w:themeFill="accent1" w:themeFillTint="33"/>
            <w:textDirection w:val="btLr"/>
            <w:vAlign w:val="center"/>
          </w:tcPr>
          <w:p w14:paraId="2D34D2DA" w14:textId="77777777" w:rsidR="000723F2" w:rsidRPr="00901D18" w:rsidRDefault="000723F2" w:rsidP="0060328A">
            <w:pPr>
              <w:spacing w:line="276" w:lineRule="auto"/>
              <w:jc w:val="both"/>
              <w:rPr>
                <w:b/>
                <w:szCs w:val="16"/>
              </w:rPr>
            </w:pPr>
            <w:r w:rsidRPr="00901D18">
              <w:rPr>
                <w:b/>
                <w:szCs w:val="16"/>
              </w:rPr>
              <w:t>HIGH GROWTH</w:t>
            </w:r>
          </w:p>
        </w:tc>
        <w:tc>
          <w:tcPr>
            <w:tcW w:w="356" w:type="pct"/>
            <w:gridSpan w:val="2"/>
            <w:tcBorders>
              <w:top w:val="single" w:sz="8" w:space="0" w:color="000000"/>
              <w:left w:val="single" w:sz="8" w:space="0" w:color="000000"/>
              <w:bottom w:val="single" w:sz="8" w:space="0" w:color="000000"/>
              <w:right w:val="nil"/>
            </w:tcBorders>
            <w:shd w:val="clear" w:color="auto" w:fill="B4C5FF" w:themeFill="accent1" w:themeFillTint="33"/>
            <w:textDirection w:val="btLr"/>
            <w:vAlign w:val="center"/>
          </w:tcPr>
          <w:p w14:paraId="5E89D181" w14:textId="77777777" w:rsidR="000723F2" w:rsidRPr="00901D18" w:rsidRDefault="000723F2" w:rsidP="0060328A">
            <w:pPr>
              <w:spacing w:line="276" w:lineRule="auto"/>
              <w:jc w:val="both"/>
              <w:rPr>
                <w:b/>
                <w:szCs w:val="16"/>
              </w:rPr>
            </w:pPr>
            <w:r w:rsidRPr="00901D18">
              <w:rPr>
                <w:b/>
                <w:szCs w:val="16"/>
              </w:rPr>
              <w:t>INTERNATIONALIZATION</w:t>
            </w:r>
          </w:p>
        </w:tc>
        <w:tc>
          <w:tcPr>
            <w:tcW w:w="349" w:type="pct"/>
            <w:gridSpan w:val="2"/>
            <w:tcBorders>
              <w:top w:val="single" w:sz="8" w:space="0" w:color="000000"/>
              <w:left w:val="single" w:sz="8" w:space="0" w:color="000000"/>
              <w:bottom w:val="single" w:sz="8" w:space="0" w:color="000000"/>
              <w:right w:val="single" w:sz="8" w:space="0" w:color="000000"/>
            </w:tcBorders>
            <w:shd w:val="clear" w:color="auto" w:fill="B4C5FF" w:themeFill="accent1" w:themeFillTint="33"/>
            <w:textDirection w:val="btLr"/>
            <w:vAlign w:val="center"/>
          </w:tcPr>
          <w:p w14:paraId="683739AC" w14:textId="77777777" w:rsidR="000723F2" w:rsidRPr="00901D18" w:rsidRDefault="000723F2" w:rsidP="0060328A">
            <w:pPr>
              <w:spacing w:line="276" w:lineRule="auto"/>
              <w:jc w:val="both"/>
              <w:rPr>
                <w:b/>
                <w:szCs w:val="16"/>
              </w:rPr>
            </w:pPr>
            <w:r w:rsidRPr="00901D18">
              <w:rPr>
                <w:b/>
                <w:szCs w:val="16"/>
              </w:rPr>
              <w:t>RISK CAPITAL</w:t>
            </w:r>
          </w:p>
        </w:tc>
      </w:tr>
      <w:tr w:rsidR="000723F2" w:rsidRPr="00901D18" w14:paraId="2AF14997" w14:textId="77777777" w:rsidTr="00507863">
        <w:trPr>
          <w:cantSplit/>
          <w:trHeight w:val="2140"/>
        </w:trPr>
        <w:tc>
          <w:tcPr>
            <w:tcW w:w="178" w:type="pct"/>
            <w:tcBorders>
              <w:top w:val="single" w:sz="8" w:space="0" w:color="000000"/>
              <w:left w:val="single" w:sz="8" w:space="0" w:color="000000"/>
              <w:bottom w:val="single" w:sz="8" w:space="0" w:color="000000"/>
              <w:right w:val="nil"/>
            </w:tcBorders>
            <w:shd w:val="clear" w:color="auto" w:fill="B4C5FF" w:themeFill="accent1" w:themeFillTint="33"/>
            <w:textDirection w:val="btLr"/>
            <w:vAlign w:val="center"/>
          </w:tcPr>
          <w:p w14:paraId="55DEA577" w14:textId="77777777" w:rsidR="000723F2" w:rsidRPr="00901D18" w:rsidRDefault="000723F2" w:rsidP="0060328A">
            <w:pPr>
              <w:spacing w:line="276" w:lineRule="auto"/>
              <w:jc w:val="both"/>
              <w:rPr>
                <w:b/>
                <w:bCs/>
                <w:sz w:val="18"/>
                <w:szCs w:val="18"/>
              </w:rPr>
            </w:pPr>
            <w:r w:rsidRPr="00901D18">
              <w:rPr>
                <w:b/>
                <w:bCs/>
                <w:sz w:val="18"/>
                <w:szCs w:val="18"/>
              </w:rPr>
              <w:t>MARKET AGGLOMERATION</w:t>
            </w:r>
          </w:p>
        </w:tc>
        <w:tc>
          <w:tcPr>
            <w:tcW w:w="177" w:type="pct"/>
            <w:tcBorders>
              <w:top w:val="single" w:sz="8" w:space="0" w:color="000000"/>
              <w:left w:val="nil"/>
              <w:bottom w:val="single" w:sz="8" w:space="0" w:color="000000"/>
              <w:right w:val="single" w:sz="8" w:space="0" w:color="000000"/>
            </w:tcBorders>
            <w:textDirection w:val="btLr"/>
            <w:vAlign w:val="center"/>
          </w:tcPr>
          <w:p w14:paraId="597EB739" w14:textId="77777777" w:rsidR="000723F2" w:rsidRPr="00901D18" w:rsidRDefault="000723F2" w:rsidP="0060328A">
            <w:pPr>
              <w:spacing w:line="276" w:lineRule="auto"/>
              <w:jc w:val="both"/>
              <w:rPr>
                <w:b/>
                <w:bCs/>
                <w:iCs/>
                <w:sz w:val="19"/>
                <w:szCs w:val="19"/>
              </w:rPr>
            </w:pPr>
            <w:r w:rsidRPr="00901D18">
              <w:rPr>
                <w:b/>
                <w:bCs/>
                <w:iCs/>
                <w:sz w:val="19"/>
                <w:szCs w:val="19"/>
              </w:rPr>
              <w:t>OPPORTUNITY</w:t>
            </w:r>
          </w:p>
        </w:tc>
        <w:tc>
          <w:tcPr>
            <w:tcW w:w="178" w:type="pct"/>
            <w:tcBorders>
              <w:top w:val="single" w:sz="8" w:space="0" w:color="000000"/>
              <w:left w:val="single" w:sz="8" w:space="0" w:color="000000"/>
              <w:bottom w:val="single" w:sz="8" w:space="0" w:color="000000"/>
            </w:tcBorders>
            <w:shd w:val="clear" w:color="auto" w:fill="B4C5FF" w:themeFill="accent1" w:themeFillTint="33"/>
            <w:textDirection w:val="btLr"/>
            <w:vAlign w:val="center"/>
          </w:tcPr>
          <w:p w14:paraId="6D47DC3F" w14:textId="77777777" w:rsidR="000723F2" w:rsidRPr="00901D18" w:rsidRDefault="000723F2" w:rsidP="0060328A">
            <w:pPr>
              <w:spacing w:line="276" w:lineRule="auto"/>
              <w:jc w:val="both"/>
              <w:rPr>
                <w:b/>
                <w:bCs/>
                <w:sz w:val="19"/>
                <w:szCs w:val="19"/>
              </w:rPr>
            </w:pPr>
            <w:r w:rsidRPr="00901D18">
              <w:rPr>
                <w:b/>
                <w:bCs/>
                <w:sz w:val="19"/>
                <w:szCs w:val="19"/>
              </w:rPr>
              <w:t>POST-SEC EDUCATION</w:t>
            </w:r>
          </w:p>
        </w:tc>
        <w:tc>
          <w:tcPr>
            <w:tcW w:w="176" w:type="pct"/>
            <w:tcBorders>
              <w:top w:val="single" w:sz="8" w:space="0" w:color="000000"/>
              <w:left w:val="nil"/>
              <w:bottom w:val="single" w:sz="8" w:space="0" w:color="000000"/>
              <w:right w:val="single" w:sz="8" w:space="0" w:color="000000"/>
            </w:tcBorders>
            <w:textDirection w:val="btLr"/>
            <w:vAlign w:val="center"/>
          </w:tcPr>
          <w:p w14:paraId="78D95538" w14:textId="77777777" w:rsidR="000723F2" w:rsidRPr="00901D18" w:rsidRDefault="000723F2" w:rsidP="0060328A">
            <w:pPr>
              <w:spacing w:line="276" w:lineRule="auto"/>
              <w:jc w:val="both"/>
              <w:rPr>
                <w:b/>
                <w:bCs/>
                <w:iCs/>
                <w:sz w:val="19"/>
                <w:szCs w:val="19"/>
              </w:rPr>
            </w:pPr>
            <w:r w:rsidRPr="00901D18">
              <w:rPr>
                <w:b/>
                <w:bCs/>
                <w:iCs/>
                <w:sz w:val="19"/>
                <w:szCs w:val="19"/>
              </w:rPr>
              <w:t>SKILL RECOGNITION</w:t>
            </w:r>
          </w:p>
        </w:tc>
        <w:tc>
          <w:tcPr>
            <w:tcW w:w="179" w:type="pct"/>
            <w:tcBorders>
              <w:top w:val="single" w:sz="8" w:space="0" w:color="000000"/>
              <w:left w:val="single" w:sz="8" w:space="0" w:color="000000"/>
              <w:bottom w:val="single" w:sz="8" w:space="0" w:color="000000"/>
            </w:tcBorders>
            <w:shd w:val="clear" w:color="auto" w:fill="B4C5FF" w:themeFill="accent1" w:themeFillTint="33"/>
            <w:textDirection w:val="btLr"/>
            <w:vAlign w:val="center"/>
          </w:tcPr>
          <w:p w14:paraId="44A73A9B" w14:textId="77777777" w:rsidR="000723F2" w:rsidRPr="00901D18" w:rsidRDefault="000723F2" w:rsidP="0060328A">
            <w:pPr>
              <w:spacing w:line="276" w:lineRule="auto"/>
              <w:jc w:val="both"/>
              <w:rPr>
                <w:b/>
                <w:bCs/>
                <w:sz w:val="19"/>
                <w:szCs w:val="19"/>
              </w:rPr>
            </w:pPr>
            <w:r w:rsidRPr="00901D18">
              <w:rPr>
                <w:b/>
                <w:bCs/>
                <w:sz w:val="19"/>
                <w:szCs w:val="19"/>
              </w:rPr>
              <w:t>BUSINESS RISK</w:t>
            </w:r>
          </w:p>
        </w:tc>
        <w:tc>
          <w:tcPr>
            <w:tcW w:w="177" w:type="pct"/>
            <w:tcBorders>
              <w:top w:val="single" w:sz="8" w:space="0" w:color="000000"/>
              <w:left w:val="nil"/>
              <w:bottom w:val="single" w:sz="8" w:space="0" w:color="000000"/>
              <w:right w:val="single" w:sz="8" w:space="0" w:color="000000"/>
            </w:tcBorders>
            <w:textDirection w:val="btLr"/>
            <w:vAlign w:val="center"/>
          </w:tcPr>
          <w:p w14:paraId="5E80307C" w14:textId="77777777" w:rsidR="000723F2" w:rsidRPr="00901D18" w:rsidRDefault="000723F2" w:rsidP="0060328A">
            <w:pPr>
              <w:spacing w:line="276" w:lineRule="auto"/>
              <w:jc w:val="both"/>
              <w:rPr>
                <w:b/>
                <w:bCs/>
                <w:iCs/>
                <w:sz w:val="19"/>
                <w:szCs w:val="19"/>
              </w:rPr>
            </w:pPr>
            <w:r w:rsidRPr="00901D18">
              <w:rPr>
                <w:b/>
                <w:bCs/>
                <w:iCs/>
                <w:sz w:val="19"/>
                <w:szCs w:val="19"/>
              </w:rPr>
              <w:t>RISK PERCEPTION</w:t>
            </w:r>
          </w:p>
        </w:tc>
        <w:tc>
          <w:tcPr>
            <w:tcW w:w="179" w:type="pct"/>
            <w:tcBorders>
              <w:top w:val="single" w:sz="8" w:space="0" w:color="000000"/>
              <w:left w:val="single" w:sz="8" w:space="0" w:color="000000"/>
              <w:bottom w:val="single" w:sz="8" w:space="0" w:color="000000"/>
            </w:tcBorders>
            <w:shd w:val="clear" w:color="auto" w:fill="B4C5FF" w:themeFill="accent1" w:themeFillTint="33"/>
            <w:textDirection w:val="btLr"/>
            <w:vAlign w:val="center"/>
          </w:tcPr>
          <w:p w14:paraId="76D0FFA0" w14:textId="77777777" w:rsidR="000723F2" w:rsidRPr="00901D18" w:rsidRDefault="000723F2" w:rsidP="0060328A">
            <w:pPr>
              <w:spacing w:line="276" w:lineRule="auto"/>
              <w:jc w:val="both"/>
              <w:rPr>
                <w:b/>
                <w:bCs/>
                <w:sz w:val="19"/>
                <w:szCs w:val="19"/>
              </w:rPr>
            </w:pPr>
            <w:r w:rsidRPr="00901D18">
              <w:rPr>
                <w:b/>
                <w:bCs/>
                <w:sz w:val="19"/>
                <w:szCs w:val="19"/>
              </w:rPr>
              <w:t>INTERNET USAGE</w:t>
            </w:r>
          </w:p>
        </w:tc>
        <w:tc>
          <w:tcPr>
            <w:tcW w:w="177" w:type="pct"/>
            <w:tcBorders>
              <w:top w:val="single" w:sz="8" w:space="0" w:color="000000"/>
              <w:left w:val="nil"/>
              <w:bottom w:val="single" w:sz="8" w:space="0" w:color="000000"/>
              <w:right w:val="single" w:sz="8" w:space="0" w:color="000000"/>
            </w:tcBorders>
            <w:textDirection w:val="btLr"/>
            <w:vAlign w:val="center"/>
          </w:tcPr>
          <w:p w14:paraId="4AEBA39F" w14:textId="77777777" w:rsidR="000723F2" w:rsidRPr="00901D18" w:rsidRDefault="000723F2" w:rsidP="0060328A">
            <w:pPr>
              <w:spacing w:line="276" w:lineRule="auto"/>
              <w:jc w:val="both"/>
              <w:rPr>
                <w:b/>
                <w:bCs/>
                <w:iCs/>
                <w:sz w:val="19"/>
                <w:szCs w:val="19"/>
              </w:rPr>
            </w:pPr>
            <w:r w:rsidRPr="00901D18">
              <w:rPr>
                <w:b/>
                <w:bCs/>
                <w:iCs/>
                <w:sz w:val="19"/>
                <w:szCs w:val="19"/>
              </w:rPr>
              <w:t>KNOW ENTREPRENEUR</w:t>
            </w:r>
          </w:p>
        </w:tc>
        <w:tc>
          <w:tcPr>
            <w:tcW w:w="179" w:type="pct"/>
            <w:tcBorders>
              <w:top w:val="single" w:sz="8" w:space="0" w:color="000000"/>
              <w:left w:val="single" w:sz="8" w:space="0" w:color="000000"/>
              <w:bottom w:val="single" w:sz="8" w:space="0" w:color="000000"/>
            </w:tcBorders>
            <w:shd w:val="clear" w:color="auto" w:fill="B4C5FF" w:themeFill="accent1" w:themeFillTint="33"/>
            <w:textDirection w:val="btLr"/>
            <w:vAlign w:val="center"/>
          </w:tcPr>
          <w:p w14:paraId="4CF0E666" w14:textId="77777777" w:rsidR="000723F2" w:rsidRPr="00901D18" w:rsidRDefault="000723F2" w:rsidP="0060328A">
            <w:pPr>
              <w:spacing w:line="276" w:lineRule="auto"/>
              <w:jc w:val="both"/>
              <w:rPr>
                <w:b/>
                <w:bCs/>
                <w:sz w:val="19"/>
                <w:szCs w:val="19"/>
              </w:rPr>
            </w:pPr>
            <w:r w:rsidRPr="00901D18">
              <w:rPr>
                <w:b/>
                <w:bCs/>
                <w:sz w:val="19"/>
                <w:szCs w:val="19"/>
              </w:rPr>
              <w:t>CORRUPTION</w:t>
            </w:r>
          </w:p>
        </w:tc>
        <w:tc>
          <w:tcPr>
            <w:tcW w:w="177" w:type="pct"/>
            <w:tcBorders>
              <w:top w:val="single" w:sz="8" w:space="0" w:color="000000"/>
              <w:left w:val="nil"/>
              <w:bottom w:val="single" w:sz="8" w:space="0" w:color="000000"/>
              <w:right w:val="single" w:sz="8" w:space="0" w:color="000000"/>
            </w:tcBorders>
            <w:textDirection w:val="btLr"/>
            <w:vAlign w:val="center"/>
          </w:tcPr>
          <w:p w14:paraId="50C3B683" w14:textId="77777777" w:rsidR="000723F2" w:rsidRPr="00901D18" w:rsidRDefault="000723F2" w:rsidP="0060328A">
            <w:pPr>
              <w:spacing w:line="276" w:lineRule="auto"/>
              <w:jc w:val="both"/>
              <w:rPr>
                <w:b/>
                <w:bCs/>
                <w:iCs/>
                <w:sz w:val="19"/>
                <w:szCs w:val="19"/>
              </w:rPr>
            </w:pPr>
            <w:r w:rsidRPr="00901D18">
              <w:rPr>
                <w:b/>
                <w:bCs/>
                <w:iCs/>
                <w:sz w:val="19"/>
                <w:szCs w:val="19"/>
              </w:rPr>
              <w:t>CAREER STATUS</w:t>
            </w:r>
          </w:p>
        </w:tc>
        <w:tc>
          <w:tcPr>
            <w:tcW w:w="13" w:type="pct"/>
            <w:tcBorders>
              <w:top w:val="nil"/>
              <w:left w:val="single" w:sz="8" w:space="0" w:color="000000"/>
              <w:bottom w:val="nil"/>
              <w:right w:val="single" w:sz="8" w:space="0" w:color="000000"/>
            </w:tcBorders>
            <w:textDirection w:val="btLr"/>
            <w:vAlign w:val="center"/>
          </w:tcPr>
          <w:p w14:paraId="7F3DA929" w14:textId="77777777" w:rsidR="000723F2" w:rsidRPr="00901D18" w:rsidRDefault="000723F2" w:rsidP="0060328A">
            <w:pPr>
              <w:spacing w:line="276" w:lineRule="auto"/>
              <w:jc w:val="both"/>
              <w:rPr>
                <w:sz w:val="19"/>
                <w:szCs w:val="19"/>
              </w:rPr>
            </w:pPr>
          </w:p>
        </w:tc>
        <w:tc>
          <w:tcPr>
            <w:tcW w:w="179" w:type="pct"/>
            <w:tcBorders>
              <w:top w:val="single" w:sz="8" w:space="0" w:color="000000"/>
              <w:left w:val="single" w:sz="8" w:space="0" w:color="000000"/>
              <w:bottom w:val="single" w:sz="8" w:space="0" w:color="000000"/>
            </w:tcBorders>
            <w:shd w:val="clear" w:color="auto" w:fill="B4C5FF" w:themeFill="accent1" w:themeFillTint="33"/>
            <w:textDirection w:val="btLr"/>
            <w:vAlign w:val="center"/>
          </w:tcPr>
          <w:p w14:paraId="7B8F8779" w14:textId="77777777" w:rsidR="000723F2" w:rsidRPr="00901D18" w:rsidRDefault="000723F2" w:rsidP="0060328A">
            <w:pPr>
              <w:spacing w:line="276" w:lineRule="auto"/>
              <w:jc w:val="both"/>
              <w:rPr>
                <w:b/>
                <w:bCs/>
                <w:sz w:val="19"/>
                <w:szCs w:val="19"/>
              </w:rPr>
            </w:pPr>
            <w:r w:rsidRPr="00901D18">
              <w:rPr>
                <w:b/>
                <w:bCs/>
                <w:sz w:val="19"/>
                <w:szCs w:val="19"/>
              </w:rPr>
              <w:t>FREEDOM</w:t>
            </w:r>
          </w:p>
        </w:tc>
        <w:tc>
          <w:tcPr>
            <w:tcW w:w="177" w:type="pct"/>
            <w:tcBorders>
              <w:top w:val="single" w:sz="8" w:space="0" w:color="000000"/>
              <w:left w:val="nil"/>
              <w:bottom w:val="single" w:sz="8" w:space="0" w:color="000000"/>
              <w:right w:val="single" w:sz="8" w:space="0" w:color="000000"/>
            </w:tcBorders>
            <w:textDirection w:val="btLr"/>
            <w:vAlign w:val="center"/>
          </w:tcPr>
          <w:p w14:paraId="4C4D1748" w14:textId="77777777" w:rsidR="000723F2" w:rsidRPr="00901D18" w:rsidRDefault="000723F2" w:rsidP="0060328A">
            <w:pPr>
              <w:spacing w:line="276" w:lineRule="auto"/>
              <w:jc w:val="both"/>
              <w:rPr>
                <w:b/>
                <w:bCs/>
                <w:iCs/>
                <w:sz w:val="19"/>
                <w:szCs w:val="19"/>
              </w:rPr>
            </w:pPr>
            <w:r w:rsidRPr="00901D18">
              <w:rPr>
                <w:b/>
                <w:bCs/>
                <w:iCs/>
                <w:sz w:val="19"/>
                <w:szCs w:val="19"/>
              </w:rPr>
              <w:t>TEA OPPORTUNITY</w:t>
            </w:r>
          </w:p>
        </w:tc>
        <w:tc>
          <w:tcPr>
            <w:tcW w:w="179" w:type="pct"/>
            <w:tcBorders>
              <w:top w:val="single" w:sz="8" w:space="0" w:color="000000"/>
              <w:left w:val="single" w:sz="8" w:space="0" w:color="000000"/>
              <w:bottom w:val="single" w:sz="8" w:space="0" w:color="000000"/>
            </w:tcBorders>
            <w:shd w:val="clear" w:color="auto" w:fill="B4C5FF" w:themeFill="accent1" w:themeFillTint="33"/>
            <w:textDirection w:val="btLr"/>
            <w:vAlign w:val="center"/>
          </w:tcPr>
          <w:p w14:paraId="4482F568" w14:textId="77777777" w:rsidR="000723F2" w:rsidRPr="00901D18" w:rsidRDefault="000723F2" w:rsidP="0060328A">
            <w:pPr>
              <w:spacing w:line="276" w:lineRule="auto"/>
              <w:jc w:val="both"/>
              <w:rPr>
                <w:b/>
                <w:bCs/>
                <w:sz w:val="19"/>
                <w:szCs w:val="19"/>
              </w:rPr>
            </w:pPr>
            <w:r w:rsidRPr="00901D18">
              <w:rPr>
                <w:b/>
                <w:bCs/>
                <w:sz w:val="19"/>
                <w:szCs w:val="19"/>
              </w:rPr>
              <w:t>TECH ABSORPTION</w:t>
            </w:r>
          </w:p>
        </w:tc>
        <w:tc>
          <w:tcPr>
            <w:tcW w:w="177" w:type="pct"/>
            <w:tcBorders>
              <w:top w:val="single" w:sz="8" w:space="0" w:color="000000"/>
              <w:left w:val="nil"/>
              <w:bottom w:val="single" w:sz="8" w:space="0" w:color="000000"/>
              <w:right w:val="single" w:sz="8" w:space="0" w:color="000000"/>
            </w:tcBorders>
            <w:textDirection w:val="btLr"/>
            <w:vAlign w:val="center"/>
          </w:tcPr>
          <w:p w14:paraId="6F0D5EDC" w14:textId="77777777" w:rsidR="000723F2" w:rsidRPr="00901D18" w:rsidRDefault="000723F2" w:rsidP="0060328A">
            <w:pPr>
              <w:spacing w:line="276" w:lineRule="auto"/>
              <w:jc w:val="both"/>
              <w:rPr>
                <w:b/>
                <w:bCs/>
                <w:iCs/>
                <w:sz w:val="19"/>
                <w:szCs w:val="19"/>
              </w:rPr>
            </w:pPr>
            <w:r w:rsidRPr="00901D18">
              <w:rPr>
                <w:b/>
                <w:bCs/>
                <w:iCs/>
                <w:sz w:val="19"/>
                <w:szCs w:val="19"/>
              </w:rPr>
              <w:t>TECH SECTOR</w:t>
            </w:r>
          </w:p>
        </w:tc>
        <w:tc>
          <w:tcPr>
            <w:tcW w:w="179" w:type="pct"/>
            <w:tcBorders>
              <w:top w:val="single" w:sz="8" w:space="0" w:color="000000"/>
              <w:left w:val="single" w:sz="8" w:space="0" w:color="000000"/>
              <w:bottom w:val="single" w:sz="8" w:space="0" w:color="000000"/>
            </w:tcBorders>
            <w:shd w:val="clear" w:color="auto" w:fill="B4C5FF" w:themeFill="accent1" w:themeFillTint="33"/>
            <w:textDirection w:val="btLr"/>
            <w:vAlign w:val="center"/>
          </w:tcPr>
          <w:p w14:paraId="6EFD1415" w14:textId="77777777" w:rsidR="000723F2" w:rsidRPr="00901D18" w:rsidRDefault="000723F2" w:rsidP="0060328A">
            <w:pPr>
              <w:spacing w:line="276" w:lineRule="auto"/>
              <w:jc w:val="both"/>
              <w:rPr>
                <w:b/>
                <w:bCs/>
                <w:sz w:val="19"/>
                <w:szCs w:val="19"/>
              </w:rPr>
            </w:pPr>
            <w:r w:rsidRPr="00901D18">
              <w:rPr>
                <w:b/>
                <w:bCs/>
                <w:sz w:val="19"/>
                <w:szCs w:val="19"/>
              </w:rPr>
              <w:t>STAFF TRAINING</w:t>
            </w:r>
          </w:p>
        </w:tc>
        <w:tc>
          <w:tcPr>
            <w:tcW w:w="177" w:type="pct"/>
            <w:tcBorders>
              <w:top w:val="single" w:sz="8" w:space="0" w:color="000000"/>
              <w:left w:val="nil"/>
              <w:bottom w:val="single" w:sz="8" w:space="0" w:color="000000"/>
              <w:right w:val="single" w:sz="8" w:space="0" w:color="000000"/>
            </w:tcBorders>
            <w:textDirection w:val="btLr"/>
            <w:vAlign w:val="center"/>
          </w:tcPr>
          <w:p w14:paraId="7DF854B3" w14:textId="77777777" w:rsidR="000723F2" w:rsidRPr="00901D18" w:rsidRDefault="000723F2" w:rsidP="0060328A">
            <w:pPr>
              <w:spacing w:line="276" w:lineRule="auto"/>
              <w:jc w:val="both"/>
              <w:rPr>
                <w:b/>
                <w:bCs/>
                <w:iCs/>
                <w:sz w:val="19"/>
                <w:szCs w:val="19"/>
              </w:rPr>
            </w:pPr>
            <w:r w:rsidRPr="00901D18">
              <w:rPr>
                <w:b/>
                <w:bCs/>
                <w:iCs/>
                <w:sz w:val="19"/>
                <w:szCs w:val="19"/>
              </w:rPr>
              <w:t>HIGH EDUCATION</w:t>
            </w:r>
          </w:p>
        </w:tc>
        <w:tc>
          <w:tcPr>
            <w:tcW w:w="179" w:type="pct"/>
            <w:tcBorders>
              <w:top w:val="single" w:sz="8" w:space="0" w:color="000000"/>
              <w:left w:val="single" w:sz="8" w:space="0" w:color="000000"/>
              <w:bottom w:val="single" w:sz="8" w:space="0" w:color="000000"/>
            </w:tcBorders>
            <w:shd w:val="clear" w:color="auto" w:fill="B4C5FF" w:themeFill="accent1" w:themeFillTint="33"/>
            <w:textDirection w:val="btLr"/>
            <w:vAlign w:val="center"/>
          </w:tcPr>
          <w:p w14:paraId="3AD64699" w14:textId="77777777" w:rsidR="000723F2" w:rsidRPr="00901D18" w:rsidRDefault="000723F2" w:rsidP="0060328A">
            <w:pPr>
              <w:spacing w:line="276" w:lineRule="auto"/>
              <w:jc w:val="both"/>
              <w:rPr>
                <w:b/>
                <w:bCs/>
                <w:sz w:val="19"/>
                <w:szCs w:val="19"/>
              </w:rPr>
            </w:pPr>
            <w:r w:rsidRPr="00901D18">
              <w:rPr>
                <w:b/>
                <w:bCs/>
                <w:sz w:val="19"/>
                <w:szCs w:val="19"/>
              </w:rPr>
              <w:t>MARKET DOMINANCE</w:t>
            </w:r>
          </w:p>
        </w:tc>
        <w:tc>
          <w:tcPr>
            <w:tcW w:w="177" w:type="pct"/>
            <w:tcBorders>
              <w:top w:val="single" w:sz="8" w:space="0" w:color="000000"/>
              <w:left w:val="nil"/>
              <w:bottom w:val="single" w:sz="8" w:space="0" w:color="000000"/>
              <w:right w:val="single" w:sz="8" w:space="0" w:color="000000"/>
            </w:tcBorders>
            <w:textDirection w:val="btLr"/>
            <w:vAlign w:val="center"/>
          </w:tcPr>
          <w:p w14:paraId="495F20E4" w14:textId="77777777" w:rsidR="000723F2" w:rsidRPr="00901D18" w:rsidRDefault="000723F2" w:rsidP="0060328A">
            <w:pPr>
              <w:spacing w:line="276" w:lineRule="auto"/>
              <w:jc w:val="both"/>
              <w:rPr>
                <w:b/>
                <w:bCs/>
                <w:iCs/>
                <w:sz w:val="19"/>
                <w:szCs w:val="19"/>
              </w:rPr>
            </w:pPr>
            <w:r w:rsidRPr="00901D18">
              <w:rPr>
                <w:b/>
                <w:bCs/>
                <w:iCs/>
                <w:sz w:val="19"/>
                <w:szCs w:val="19"/>
              </w:rPr>
              <w:t>COMPETITION</w:t>
            </w:r>
          </w:p>
        </w:tc>
        <w:tc>
          <w:tcPr>
            <w:tcW w:w="13" w:type="pct"/>
            <w:tcBorders>
              <w:top w:val="nil"/>
              <w:left w:val="single" w:sz="8" w:space="0" w:color="000000"/>
              <w:bottom w:val="nil"/>
              <w:right w:val="single" w:sz="8" w:space="0" w:color="000000"/>
            </w:tcBorders>
            <w:textDirection w:val="btLr"/>
            <w:vAlign w:val="center"/>
          </w:tcPr>
          <w:p w14:paraId="617DA557" w14:textId="77777777" w:rsidR="000723F2" w:rsidRPr="00901D18" w:rsidRDefault="000723F2" w:rsidP="0060328A">
            <w:pPr>
              <w:spacing w:line="276" w:lineRule="auto"/>
              <w:jc w:val="both"/>
              <w:rPr>
                <w:b/>
                <w:bCs/>
                <w:sz w:val="19"/>
                <w:szCs w:val="19"/>
              </w:rPr>
            </w:pPr>
          </w:p>
        </w:tc>
        <w:tc>
          <w:tcPr>
            <w:tcW w:w="179" w:type="pct"/>
            <w:tcBorders>
              <w:top w:val="single" w:sz="8" w:space="0" w:color="000000"/>
              <w:left w:val="single" w:sz="8" w:space="0" w:color="000000"/>
              <w:bottom w:val="single" w:sz="8" w:space="0" w:color="000000"/>
            </w:tcBorders>
            <w:shd w:val="clear" w:color="auto" w:fill="B4C5FF" w:themeFill="accent1" w:themeFillTint="33"/>
            <w:textDirection w:val="btLr"/>
            <w:vAlign w:val="center"/>
          </w:tcPr>
          <w:p w14:paraId="2C3CE4A1" w14:textId="77777777" w:rsidR="000723F2" w:rsidRPr="00901D18" w:rsidRDefault="000723F2" w:rsidP="0060328A">
            <w:pPr>
              <w:spacing w:line="276" w:lineRule="auto"/>
              <w:jc w:val="both"/>
              <w:rPr>
                <w:b/>
                <w:bCs/>
                <w:sz w:val="19"/>
                <w:szCs w:val="19"/>
              </w:rPr>
            </w:pPr>
            <w:r w:rsidRPr="00901D18">
              <w:rPr>
                <w:b/>
                <w:bCs/>
                <w:sz w:val="19"/>
                <w:szCs w:val="19"/>
                <w:shd w:val="clear" w:color="auto" w:fill="B4C5FF" w:themeFill="accent1" w:themeFillTint="33"/>
              </w:rPr>
              <w:t>TECH TRANSFE</w:t>
            </w:r>
            <w:r w:rsidRPr="00901D18">
              <w:rPr>
                <w:b/>
                <w:bCs/>
                <w:sz w:val="19"/>
                <w:szCs w:val="19"/>
              </w:rPr>
              <w:t>R</w:t>
            </w:r>
          </w:p>
        </w:tc>
        <w:tc>
          <w:tcPr>
            <w:tcW w:w="177" w:type="pct"/>
            <w:tcBorders>
              <w:top w:val="single" w:sz="8" w:space="0" w:color="000000"/>
              <w:left w:val="nil"/>
              <w:bottom w:val="single" w:sz="8" w:space="0" w:color="000000"/>
              <w:right w:val="single" w:sz="8" w:space="0" w:color="000000"/>
            </w:tcBorders>
            <w:textDirection w:val="btLr"/>
            <w:vAlign w:val="center"/>
          </w:tcPr>
          <w:p w14:paraId="371BCF27" w14:textId="77777777" w:rsidR="000723F2" w:rsidRPr="00901D18" w:rsidRDefault="000723F2" w:rsidP="0060328A">
            <w:pPr>
              <w:spacing w:line="276" w:lineRule="auto"/>
              <w:jc w:val="both"/>
              <w:rPr>
                <w:b/>
                <w:bCs/>
                <w:iCs/>
                <w:sz w:val="19"/>
                <w:szCs w:val="19"/>
              </w:rPr>
            </w:pPr>
            <w:r w:rsidRPr="00901D18">
              <w:rPr>
                <w:b/>
                <w:bCs/>
                <w:iCs/>
                <w:sz w:val="19"/>
                <w:szCs w:val="19"/>
              </w:rPr>
              <w:t>NEW PRODUCT</w:t>
            </w:r>
          </w:p>
        </w:tc>
        <w:tc>
          <w:tcPr>
            <w:tcW w:w="179" w:type="pct"/>
            <w:tcBorders>
              <w:top w:val="single" w:sz="8" w:space="0" w:color="000000"/>
              <w:left w:val="single" w:sz="8" w:space="0" w:color="000000"/>
              <w:bottom w:val="single" w:sz="8" w:space="0" w:color="000000"/>
            </w:tcBorders>
            <w:shd w:val="clear" w:color="auto" w:fill="B4C5FF" w:themeFill="accent1" w:themeFillTint="33"/>
            <w:textDirection w:val="btLr"/>
            <w:vAlign w:val="center"/>
          </w:tcPr>
          <w:p w14:paraId="40E6DCC4" w14:textId="77777777" w:rsidR="000723F2" w:rsidRPr="00901D18" w:rsidRDefault="000723F2" w:rsidP="0060328A">
            <w:pPr>
              <w:spacing w:line="276" w:lineRule="auto"/>
              <w:jc w:val="both"/>
              <w:rPr>
                <w:b/>
                <w:bCs/>
                <w:sz w:val="19"/>
                <w:szCs w:val="19"/>
              </w:rPr>
            </w:pPr>
            <w:r w:rsidRPr="00901D18">
              <w:rPr>
                <w:b/>
                <w:bCs/>
                <w:sz w:val="19"/>
                <w:szCs w:val="19"/>
                <w:shd w:val="clear" w:color="auto" w:fill="B4C5FF" w:themeFill="accent1" w:themeFillTint="33"/>
              </w:rPr>
              <w:t>GERD</w:t>
            </w:r>
          </w:p>
        </w:tc>
        <w:tc>
          <w:tcPr>
            <w:tcW w:w="177" w:type="pct"/>
            <w:tcBorders>
              <w:top w:val="single" w:sz="8" w:space="0" w:color="000000"/>
              <w:left w:val="nil"/>
              <w:bottom w:val="single" w:sz="8" w:space="0" w:color="000000"/>
              <w:right w:val="single" w:sz="8" w:space="0" w:color="000000"/>
            </w:tcBorders>
            <w:textDirection w:val="btLr"/>
            <w:vAlign w:val="center"/>
          </w:tcPr>
          <w:p w14:paraId="73B01D9F" w14:textId="77777777" w:rsidR="000723F2" w:rsidRPr="00901D18" w:rsidRDefault="000723F2" w:rsidP="0060328A">
            <w:pPr>
              <w:spacing w:line="276" w:lineRule="auto"/>
              <w:jc w:val="both"/>
              <w:rPr>
                <w:b/>
                <w:bCs/>
                <w:iCs/>
                <w:sz w:val="19"/>
                <w:szCs w:val="19"/>
              </w:rPr>
            </w:pPr>
            <w:r w:rsidRPr="00901D18">
              <w:rPr>
                <w:b/>
                <w:bCs/>
                <w:iCs/>
                <w:sz w:val="19"/>
                <w:szCs w:val="19"/>
              </w:rPr>
              <w:t>NEW TECHNOLOGY</w:t>
            </w:r>
          </w:p>
        </w:tc>
        <w:tc>
          <w:tcPr>
            <w:tcW w:w="179" w:type="pct"/>
            <w:tcBorders>
              <w:top w:val="single" w:sz="8" w:space="0" w:color="000000"/>
              <w:left w:val="single" w:sz="8" w:space="0" w:color="000000"/>
              <w:bottom w:val="single" w:sz="8" w:space="0" w:color="000000"/>
            </w:tcBorders>
            <w:shd w:val="clear" w:color="auto" w:fill="B4C5FF" w:themeFill="accent1" w:themeFillTint="33"/>
            <w:textDirection w:val="btLr"/>
            <w:vAlign w:val="center"/>
          </w:tcPr>
          <w:p w14:paraId="466D5579" w14:textId="77777777" w:rsidR="000723F2" w:rsidRPr="00901D18" w:rsidRDefault="000723F2" w:rsidP="0060328A">
            <w:pPr>
              <w:spacing w:line="276" w:lineRule="auto"/>
              <w:jc w:val="both"/>
              <w:rPr>
                <w:b/>
                <w:bCs/>
                <w:sz w:val="19"/>
                <w:szCs w:val="19"/>
              </w:rPr>
            </w:pPr>
            <w:r w:rsidRPr="00901D18">
              <w:rPr>
                <w:b/>
                <w:bCs/>
                <w:sz w:val="19"/>
                <w:szCs w:val="19"/>
                <w:shd w:val="clear" w:color="auto" w:fill="B4C5FF" w:themeFill="accent1" w:themeFillTint="33"/>
              </w:rPr>
              <w:t>BUSINESS STRATE</w:t>
            </w:r>
            <w:r w:rsidRPr="00901D18">
              <w:rPr>
                <w:b/>
                <w:bCs/>
                <w:sz w:val="19"/>
                <w:szCs w:val="19"/>
              </w:rPr>
              <w:t>GY</w:t>
            </w:r>
          </w:p>
        </w:tc>
        <w:tc>
          <w:tcPr>
            <w:tcW w:w="177" w:type="pct"/>
            <w:tcBorders>
              <w:top w:val="single" w:sz="8" w:space="0" w:color="000000"/>
              <w:left w:val="nil"/>
              <w:bottom w:val="single" w:sz="8" w:space="0" w:color="000000"/>
              <w:right w:val="single" w:sz="8" w:space="0" w:color="000000"/>
            </w:tcBorders>
            <w:textDirection w:val="btLr"/>
            <w:vAlign w:val="center"/>
          </w:tcPr>
          <w:p w14:paraId="6B74CE68" w14:textId="77777777" w:rsidR="000723F2" w:rsidRPr="00901D18" w:rsidRDefault="000723F2" w:rsidP="0060328A">
            <w:pPr>
              <w:spacing w:line="276" w:lineRule="auto"/>
              <w:jc w:val="both"/>
              <w:rPr>
                <w:b/>
                <w:bCs/>
                <w:iCs/>
                <w:sz w:val="19"/>
                <w:szCs w:val="19"/>
              </w:rPr>
            </w:pPr>
            <w:r w:rsidRPr="00901D18">
              <w:rPr>
                <w:b/>
                <w:bCs/>
                <w:iCs/>
                <w:sz w:val="19"/>
                <w:szCs w:val="19"/>
              </w:rPr>
              <w:t>GAZELLE</w:t>
            </w:r>
          </w:p>
        </w:tc>
        <w:tc>
          <w:tcPr>
            <w:tcW w:w="179" w:type="pct"/>
            <w:tcBorders>
              <w:top w:val="single" w:sz="8" w:space="0" w:color="000000"/>
              <w:left w:val="single" w:sz="8" w:space="0" w:color="000000"/>
              <w:bottom w:val="single" w:sz="8" w:space="0" w:color="000000"/>
            </w:tcBorders>
            <w:shd w:val="clear" w:color="auto" w:fill="B4C5FF" w:themeFill="accent1" w:themeFillTint="33"/>
            <w:textDirection w:val="btLr"/>
            <w:vAlign w:val="center"/>
          </w:tcPr>
          <w:p w14:paraId="7B1F689C" w14:textId="77777777" w:rsidR="000723F2" w:rsidRPr="00901D18" w:rsidRDefault="000723F2" w:rsidP="0060328A">
            <w:pPr>
              <w:spacing w:line="276" w:lineRule="auto"/>
              <w:jc w:val="both"/>
              <w:rPr>
                <w:b/>
                <w:bCs/>
                <w:sz w:val="19"/>
                <w:szCs w:val="19"/>
              </w:rPr>
            </w:pPr>
            <w:r w:rsidRPr="00901D18">
              <w:rPr>
                <w:b/>
                <w:bCs/>
                <w:sz w:val="19"/>
                <w:szCs w:val="19"/>
                <w:shd w:val="clear" w:color="auto" w:fill="B4C5FF" w:themeFill="accent1" w:themeFillTint="33"/>
              </w:rPr>
              <w:t>GLOBALIZATION</w:t>
            </w:r>
          </w:p>
        </w:tc>
        <w:tc>
          <w:tcPr>
            <w:tcW w:w="177" w:type="pct"/>
            <w:tcBorders>
              <w:top w:val="single" w:sz="8" w:space="0" w:color="000000"/>
              <w:left w:val="nil"/>
              <w:bottom w:val="single" w:sz="8" w:space="0" w:color="000000"/>
              <w:right w:val="single" w:sz="8" w:space="0" w:color="000000"/>
            </w:tcBorders>
            <w:textDirection w:val="btLr"/>
            <w:vAlign w:val="center"/>
          </w:tcPr>
          <w:p w14:paraId="7EFD1A09" w14:textId="77777777" w:rsidR="000723F2" w:rsidRPr="00901D18" w:rsidRDefault="000723F2" w:rsidP="0060328A">
            <w:pPr>
              <w:spacing w:line="276" w:lineRule="auto"/>
              <w:jc w:val="both"/>
              <w:rPr>
                <w:b/>
                <w:bCs/>
                <w:iCs/>
                <w:sz w:val="19"/>
                <w:szCs w:val="19"/>
              </w:rPr>
            </w:pPr>
            <w:r w:rsidRPr="00901D18">
              <w:rPr>
                <w:b/>
                <w:bCs/>
                <w:iCs/>
                <w:sz w:val="19"/>
                <w:szCs w:val="19"/>
              </w:rPr>
              <w:t>EXPORT</w:t>
            </w:r>
          </w:p>
        </w:tc>
        <w:tc>
          <w:tcPr>
            <w:tcW w:w="179" w:type="pct"/>
            <w:tcBorders>
              <w:top w:val="single" w:sz="8" w:space="0" w:color="000000"/>
              <w:left w:val="single" w:sz="8" w:space="0" w:color="000000"/>
              <w:bottom w:val="single" w:sz="8" w:space="0" w:color="000000"/>
            </w:tcBorders>
            <w:shd w:val="clear" w:color="auto" w:fill="B4C5FF" w:themeFill="accent1" w:themeFillTint="33"/>
            <w:textDirection w:val="btLr"/>
            <w:vAlign w:val="center"/>
          </w:tcPr>
          <w:p w14:paraId="4EDCC4BA" w14:textId="77777777" w:rsidR="000723F2" w:rsidRPr="00901D18" w:rsidRDefault="000723F2" w:rsidP="0060328A">
            <w:pPr>
              <w:spacing w:line="276" w:lineRule="auto"/>
              <w:jc w:val="both"/>
              <w:rPr>
                <w:b/>
                <w:bCs/>
                <w:sz w:val="18"/>
                <w:szCs w:val="18"/>
              </w:rPr>
            </w:pPr>
            <w:r w:rsidRPr="00901D18">
              <w:rPr>
                <w:b/>
                <w:bCs/>
                <w:sz w:val="18"/>
                <w:szCs w:val="18"/>
                <w:shd w:val="clear" w:color="auto" w:fill="B4C5FF" w:themeFill="accent1" w:themeFillTint="33"/>
              </w:rPr>
              <w:t>DEPTH OF CAPITAL</w:t>
            </w:r>
            <w:r w:rsidRPr="00901D18">
              <w:rPr>
                <w:b/>
                <w:bCs/>
                <w:sz w:val="18"/>
                <w:szCs w:val="18"/>
              </w:rPr>
              <w:t xml:space="preserve"> MARKET</w:t>
            </w:r>
          </w:p>
        </w:tc>
        <w:tc>
          <w:tcPr>
            <w:tcW w:w="170" w:type="pct"/>
            <w:tcBorders>
              <w:top w:val="single" w:sz="8" w:space="0" w:color="000000"/>
              <w:left w:val="nil"/>
              <w:bottom w:val="single" w:sz="8" w:space="0" w:color="000000"/>
              <w:right w:val="single" w:sz="8" w:space="0" w:color="000000"/>
            </w:tcBorders>
            <w:textDirection w:val="btLr"/>
            <w:vAlign w:val="center"/>
          </w:tcPr>
          <w:p w14:paraId="0673FE59" w14:textId="77777777" w:rsidR="000723F2" w:rsidRPr="00901D18" w:rsidRDefault="000723F2" w:rsidP="0060328A">
            <w:pPr>
              <w:spacing w:line="276" w:lineRule="auto"/>
              <w:jc w:val="both"/>
              <w:rPr>
                <w:b/>
                <w:bCs/>
                <w:iCs/>
                <w:sz w:val="18"/>
                <w:szCs w:val="18"/>
              </w:rPr>
            </w:pPr>
            <w:r w:rsidRPr="00901D18">
              <w:rPr>
                <w:b/>
                <w:bCs/>
                <w:iCs/>
                <w:sz w:val="18"/>
                <w:szCs w:val="18"/>
              </w:rPr>
              <w:t>I</w:t>
            </w:r>
            <w:r w:rsidRPr="00901D18">
              <w:rPr>
                <w:b/>
                <w:bCs/>
                <w:iCs/>
                <w:sz w:val="19"/>
                <w:szCs w:val="19"/>
              </w:rPr>
              <w:t>NFORMAL INVESTMENT</w:t>
            </w:r>
          </w:p>
        </w:tc>
      </w:tr>
    </w:tbl>
    <w:p w14:paraId="3597FA52" w14:textId="77777777" w:rsidR="002F5E7D" w:rsidRPr="00B2318B" w:rsidRDefault="002F5E7D" w:rsidP="0060328A">
      <w:pPr>
        <w:spacing w:line="276" w:lineRule="auto"/>
        <w:jc w:val="both"/>
        <w:rPr>
          <w:b/>
          <w:i/>
          <w:sz w:val="24"/>
          <w:szCs w:val="24"/>
        </w:rPr>
      </w:pPr>
      <w:r w:rsidRPr="00B2318B">
        <w:rPr>
          <w:b/>
          <w:i/>
          <w:sz w:val="24"/>
          <w:szCs w:val="24"/>
        </w:rPr>
        <w:t>Table 1: The structure of the Global Entrepreneurship Index</w:t>
      </w:r>
    </w:p>
    <w:p w14:paraId="226AEA8A" w14:textId="77777777" w:rsidR="002F5E7D" w:rsidRDefault="002F5E7D" w:rsidP="0060328A">
      <w:pPr>
        <w:spacing w:line="276" w:lineRule="auto"/>
        <w:jc w:val="both"/>
        <w:rPr>
          <w:rFonts w:cstheme="minorHAnsi"/>
          <w:sz w:val="24"/>
          <w:szCs w:val="24"/>
        </w:rPr>
      </w:pPr>
      <w:r>
        <w:rPr>
          <w:rFonts w:cstheme="minorHAnsi"/>
          <w:sz w:val="24"/>
          <w:szCs w:val="24"/>
        </w:rPr>
        <w:t xml:space="preserve">Source: Acs, </w:t>
      </w:r>
      <w:proofErr w:type="spellStart"/>
      <w:r>
        <w:rPr>
          <w:rFonts w:cstheme="minorHAnsi"/>
          <w:sz w:val="24"/>
          <w:szCs w:val="24"/>
        </w:rPr>
        <w:t>Szerb</w:t>
      </w:r>
      <w:proofErr w:type="spellEnd"/>
      <w:r>
        <w:rPr>
          <w:rFonts w:cstheme="minorHAnsi"/>
          <w:sz w:val="24"/>
          <w:szCs w:val="24"/>
        </w:rPr>
        <w:t xml:space="preserve"> </w:t>
      </w:r>
      <w:proofErr w:type="spellStart"/>
      <w:r>
        <w:rPr>
          <w:rFonts w:cstheme="minorHAnsi"/>
          <w:sz w:val="24"/>
          <w:szCs w:val="24"/>
        </w:rPr>
        <w:t>Autio</w:t>
      </w:r>
      <w:proofErr w:type="spellEnd"/>
      <w:r>
        <w:rPr>
          <w:rFonts w:cstheme="minorHAnsi"/>
          <w:sz w:val="24"/>
          <w:szCs w:val="24"/>
        </w:rPr>
        <w:t xml:space="preserve"> 2015 p. 101</w:t>
      </w:r>
    </w:p>
    <w:p w14:paraId="757F37F9" w14:textId="1E9594BB" w:rsidR="00BD3334" w:rsidRDefault="00BD3334" w:rsidP="00E71880">
      <w:pPr>
        <w:spacing w:before="120" w:line="276" w:lineRule="auto"/>
        <w:jc w:val="both"/>
        <w:rPr>
          <w:rFonts w:cstheme="minorHAnsi"/>
          <w:sz w:val="24"/>
          <w:szCs w:val="24"/>
        </w:rPr>
      </w:pPr>
      <w:r>
        <w:rPr>
          <w:rFonts w:cstheme="minorHAnsi"/>
          <w:sz w:val="24"/>
          <w:szCs w:val="24"/>
        </w:rPr>
        <w:t xml:space="preserve">These pillars and variables were assembled from the best research at the time the GEI was compiled. They were constrained by two issues: one, if the variables were correlated and two, if data was available for all countries. In the past decade the world of entrepreneurship has evolved and new approaches to entrepreneurship have emerged that make an update of the GEI necessary.  </w:t>
      </w:r>
    </w:p>
    <w:p w14:paraId="178A1255" w14:textId="5B031588" w:rsidR="00A11879" w:rsidRDefault="00A11879" w:rsidP="0060328A">
      <w:pPr>
        <w:pStyle w:val="Heading1"/>
        <w:spacing w:line="276" w:lineRule="auto"/>
        <w:jc w:val="both"/>
      </w:pPr>
      <w:bookmarkStart w:id="25" w:name="_Toc447096849"/>
      <w:r>
        <w:t>5</w:t>
      </w:r>
      <w:r w:rsidR="003C7978" w:rsidRPr="008915CA">
        <w:t>.</w:t>
      </w:r>
      <w:r>
        <w:t xml:space="preserve"> The </w:t>
      </w:r>
      <w:r w:rsidR="004D11D2">
        <w:t>Re</w:t>
      </w:r>
      <w:r w:rsidR="002562D8">
        <w:t>-</w:t>
      </w:r>
      <w:r w:rsidR="004D11D2">
        <w:t>composition of the GEI</w:t>
      </w:r>
      <w:r w:rsidR="003E626A">
        <w:t xml:space="preserve"> by Introducing Additional Institutional Variables</w:t>
      </w:r>
      <w:bookmarkEnd w:id="25"/>
    </w:p>
    <w:p w14:paraId="79956ECF" w14:textId="62040EBB" w:rsidR="00F0517C" w:rsidRPr="00E71880" w:rsidRDefault="003B1BE5" w:rsidP="00E71880">
      <w:pPr>
        <w:spacing w:line="276" w:lineRule="auto"/>
        <w:jc w:val="both"/>
        <w:rPr>
          <w:rFonts w:asciiTheme="minorHAnsi" w:hAnsiTheme="minorHAnsi"/>
          <w:sz w:val="24"/>
          <w:szCs w:val="24"/>
        </w:rPr>
      </w:pPr>
      <w:r w:rsidRPr="00E71880">
        <w:rPr>
          <w:rFonts w:cstheme="minorHAnsi"/>
          <w:sz w:val="24"/>
          <w:szCs w:val="24"/>
        </w:rPr>
        <w:t>The aim of the</w:t>
      </w:r>
      <w:r w:rsidR="004D11D2" w:rsidRPr="00E71880">
        <w:rPr>
          <w:rFonts w:cstheme="minorHAnsi"/>
          <w:sz w:val="24"/>
          <w:szCs w:val="24"/>
        </w:rPr>
        <w:t xml:space="preserve"> </w:t>
      </w:r>
      <w:r w:rsidR="00F0517C" w:rsidRPr="00E71880">
        <w:rPr>
          <w:rFonts w:cstheme="minorHAnsi"/>
          <w:sz w:val="24"/>
          <w:szCs w:val="24"/>
        </w:rPr>
        <w:t xml:space="preserve">FIRES </w:t>
      </w:r>
      <w:r w:rsidR="00CD7A76" w:rsidRPr="00E71880">
        <w:rPr>
          <w:rFonts w:cstheme="minorHAnsi"/>
          <w:sz w:val="24"/>
          <w:szCs w:val="24"/>
        </w:rPr>
        <w:t xml:space="preserve">project </w:t>
      </w:r>
      <w:r w:rsidR="00FE5E2B" w:rsidRPr="00E71880">
        <w:rPr>
          <w:rFonts w:cstheme="minorHAnsi"/>
          <w:sz w:val="24"/>
          <w:szCs w:val="24"/>
        </w:rPr>
        <w:t>i</w:t>
      </w:r>
      <w:r w:rsidR="00CD7A76" w:rsidRPr="00E71880">
        <w:rPr>
          <w:rFonts w:cstheme="minorHAnsi"/>
          <w:sz w:val="24"/>
          <w:szCs w:val="24"/>
        </w:rPr>
        <w:t>s</w:t>
      </w:r>
      <w:r w:rsidR="002B308E" w:rsidRPr="00E71880">
        <w:rPr>
          <w:rFonts w:cstheme="minorHAnsi"/>
          <w:sz w:val="24"/>
          <w:szCs w:val="24"/>
        </w:rPr>
        <w:t xml:space="preserve"> </w:t>
      </w:r>
      <w:r w:rsidR="00BD3334" w:rsidRPr="00E71880">
        <w:rPr>
          <w:rFonts w:cstheme="minorHAnsi"/>
          <w:sz w:val="24"/>
          <w:szCs w:val="24"/>
        </w:rPr>
        <w:t xml:space="preserve">to </w:t>
      </w:r>
      <w:r w:rsidR="00F0517C" w:rsidRPr="00E71880">
        <w:rPr>
          <w:rFonts w:cstheme="minorHAnsi"/>
          <w:sz w:val="24"/>
          <w:szCs w:val="24"/>
        </w:rPr>
        <w:t xml:space="preserve">better understand the financial and institutional structure that leads to a more robust economy. Therefore the </w:t>
      </w:r>
      <w:r w:rsidR="00CD7A76" w:rsidRPr="00E71880">
        <w:rPr>
          <w:rFonts w:cstheme="minorHAnsi"/>
          <w:sz w:val="24"/>
          <w:szCs w:val="24"/>
        </w:rPr>
        <w:t xml:space="preserve">creation of a </w:t>
      </w:r>
      <w:r w:rsidR="00E827A0" w:rsidRPr="00E71880">
        <w:rPr>
          <w:rFonts w:cstheme="minorHAnsi"/>
          <w:sz w:val="24"/>
          <w:szCs w:val="24"/>
        </w:rPr>
        <w:t xml:space="preserve">more robust </w:t>
      </w:r>
      <w:r w:rsidR="00CD7A76" w:rsidRPr="00E71880">
        <w:rPr>
          <w:rFonts w:cstheme="minorHAnsi"/>
          <w:sz w:val="24"/>
          <w:szCs w:val="24"/>
        </w:rPr>
        <w:t xml:space="preserve">composite indicator measuring </w:t>
      </w:r>
      <w:r w:rsidR="00F776DA" w:rsidRPr="00E71880">
        <w:rPr>
          <w:rFonts w:cstheme="minorHAnsi"/>
          <w:sz w:val="24"/>
          <w:szCs w:val="24"/>
        </w:rPr>
        <w:t>NSE</w:t>
      </w:r>
      <w:r w:rsidR="00F0517C" w:rsidRPr="00E71880">
        <w:rPr>
          <w:rFonts w:cstheme="minorHAnsi"/>
          <w:sz w:val="24"/>
          <w:szCs w:val="24"/>
        </w:rPr>
        <w:t xml:space="preserve"> is an important part of th</w:t>
      </w:r>
      <w:r w:rsidR="00BD3334" w:rsidRPr="00E71880">
        <w:rPr>
          <w:rFonts w:cstheme="minorHAnsi"/>
          <w:sz w:val="24"/>
          <w:szCs w:val="24"/>
        </w:rPr>
        <w:t>is</w:t>
      </w:r>
      <w:r w:rsidR="00F0517C" w:rsidRPr="00E71880">
        <w:rPr>
          <w:rFonts w:cstheme="minorHAnsi"/>
          <w:sz w:val="24"/>
          <w:szCs w:val="24"/>
        </w:rPr>
        <w:t xml:space="preserve"> project.</w:t>
      </w:r>
      <w:r w:rsidR="00F0517C" w:rsidRPr="00E71880">
        <w:rPr>
          <w:sz w:val="24"/>
          <w:szCs w:val="24"/>
        </w:rPr>
        <w:t xml:space="preserve"> </w:t>
      </w:r>
      <w:r w:rsidR="00A5561A" w:rsidRPr="00E71880">
        <w:rPr>
          <w:sz w:val="24"/>
          <w:szCs w:val="24"/>
        </w:rPr>
        <w:t xml:space="preserve">The main purpose of this section is to think through how to expand the institutional variables for a more robust index. The main targets according to the FIRES Project are financial variables, taxation, </w:t>
      </w:r>
      <w:proofErr w:type="spellStart"/>
      <w:r w:rsidR="00A5561A" w:rsidRPr="00E71880">
        <w:rPr>
          <w:sz w:val="24"/>
          <w:szCs w:val="24"/>
        </w:rPr>
        <w:t>labor</w:t>
      </w:r>
      <w:proofErr w:type="spellEnd"/>
      <w:r w:rsidR="00A5561A" w:rsidRPr="00E71880">
        <w:rPr>
          <w:sz w:val="24"/>
          <w:szCs w:val="24"/>
        </w:rPr>
        <w:t xml:space="preserve"> markets and knowledge institutions that affect its quality of entrepreneurship. </w:t>
      </w:r>
      <w:r w:rsidR="00F0517C" w:rsidRPr="00E71880">
        <w:rPr>
          <w:sz w:val="24"/>
          <w:szCs w:val="24"/>
        </w:rPr>
        <w:t xml:space="preserve">In </w:t>
      </w:r>
      <w:r w:rsidR="00BD3334" w:rsidRPr="00E71880">
        <w:rPr>
          <w:sz w:val="24"/>
          <w:szCs w:val="24"/>
        </w:rPr>
        <w:t>the FIRES</w:t>
      </w:r>
      <w:r w:rsidR="00F0517C" w:rsidRPr="00E71880">
        <w:rPr>
          <w:sz w:val="24"/>
          <w:szCs w:val="24"/>
        </w:rPr>
        <w:t xml:space="preserve"> project we will only focus on 3</w:t>
      </w:r>
      <w:r w:rsidR="000D7D1D" w:rsidRPr="00E71880">
        <w:rPr>
          <w:sz w:val="24"/>
          <w:szCs w:val="24"/>
        </w:rPr>
        <w:t>9</w:t>
      </w:r>
      <w:r w:rsidR="00F0517C" w:rsidRPr="00E71880">
        <w:rPr>
          <w:sz w:val="24"/>
          <w:szCs w:val="24"/>
        </w:rPr>
        <w:t xml:space="preserve"> EU countries and other OECD countries for benchmarking purposes</w:t>
      </w:r>
      <w:r w:rsidR="000D7D1D" w:rsidRPr="00E71880">
        <w:rPr>
          <w:sz w:val="24"/>
          <w:szCs w:val="24"/>
        </w:rPr>
        <w:t xml:space="preserve"> (except New Zealand and Malta)</w:t>
      </w:r>
      <w:r w:rsidR="00F0517C" w:rsidRPr="00E71880">
        <w:rPr>
          <w:sz w:val="24"/>
          <w:szCs w:val="24"/>
        </w:rPr>
        <w:t>. This will make data collection much easier</w:t>
      </w:r>
      <w:r w:rsidR="00BD3334" w:rsidRPr="00E71880">
        <w:rPr>
          <w:sz w:val="24"/>
          <w:szCs w:val="24"/>
        </w:rPr>
        <w:t xml:space="preserve"> as we are not constrained by emerging economies</w:t>
      </w:r>
      <w:r w:rsidR="00F0517C" w:rsidRPr="00E71880">
        <w:rPr>
          <w:rFonts w:asciiTheme="minorHAnsi" w:hAnsiTheme="minorHAnsi"/>
          <w:sz w:val="24"/>
          <w:szCs w:val="24"/>
        </w:rPr>
        <w:t xml:space="preserve">. </w:t>
      </w:r>
    </w:p>
    <w:p w14:paraId="107C2F6C" w14:textId="02DB2714" w:rsidR="00A5561A" w:rsidRPr="00E71880" w:rsidRDefault="00CD7A76" w:rsidP="00E71880">
      <w:pPr>
        <w:spacing w:line="276" w:lineRule="auto"/>
        <w:jc w:val="both"/>
        <w:rPr>
          <w:rFonts w:cstheme="minorHAnsi"/>
          <w:sz w:val="24"/>
          <w:szCs w:val="24"/>
        </w:rPr>
      </w:pPr>
      <w:r>
        <w:rPr>
          <w:rFonts w:cstheme="minorHAnsi"/>
          <w:sz w:val="24"/>
          <w:szCs w:val="24"/>
        </w:rPr>
        <w:t xml:space="preserve"> </w:t>
      </w:r>
      <w:r w:rsidR="00F0517C">
        <w:rPr>
          <w:rFonts w:cstheme="minorHAnsi"/>
          <w:sz w:val="24"/>
          <w:szCs w:val="24"/>
        </w:rPr>
        <w:tab/>
      </w:r>
      <w:r w:rsidR="00F0517C" w:rsidRPr="00E71880">
        <w:rPr>
          <w:sz w:val="24"/>
          <w:szCs w:val="24"/>
        </w:rPr>
        <w:t xml:space="preserve">One might ask why we have not included finance, </w:t>
      </w:r>
      <w:proofErr w:type="spellStart"/>
      <w:r w:rsidR="00F0517C" w:rsidRPr="00E71880">
        <w:rPr>
          <w:sz w:val="24"/>
          <w:szCs w:val="24"/>
        </w:rPr>
        <w:t>labor</w:t>
      </w:r>
      <w:proofErr w:type="spellEnd"/>
      <w:r w:rsidR="00F0517C" w:rsidRPr="00E71880">
        <w:rPr>
          <w:sz w:val="24"/>
          <w:szCs w:val="24"/>
        </w:rPr>
        <w:t xml:space="preserve"> markets and taxes in the GEI up to now.  There are at least three reasons.  First, the theoretical literature has been mixed on this subject. For example on the role of finance some argue that finance is never a </w:t>
      </w:r>
      <w:r w:rsidR="00F0517C" w:rsidRPr="00E71880">
        <w:rPr>
          <w:sz w:val="24"/>
          <w:szCs w:val="24"/>
        </w:rPr>
        <w:lastRenderedPageBreak/>
        <w:t xml:space="preserve">problem (too much money changing too few ides) or </w:t>
      </w:r>
      <w:r w:rsidR="00CB3FDC" w:rsidRPr="00E71880">
        <w:rPr>
          <w:sz w:val="24"/>
          <w:szCs w:val="24"/>
        </w:rPr>
        <w:t>asymmetric</w:t>
      </w:r>
      <w:r w:rsidR="00F0517C" w:rsidRPr="00E71880">
        <w:rPr>
          <w:sz w:val="24"/>
          <w:szCs w:val="24"/>
        </w:rPr>
        <w:t xml:space="preserve"> information so there is always a shortage of </w:t>
      </w:r>
      <w:r w:rsidR="00CB3FDC" w:rsidRPr="00E71880">
        <w:rPr>
          <w:sz w:val="24"/>
          <w:szCs w:val="24"/>
        </w:rPr>
        <w:t>finance</w:t>
      </w:r>
      <w:r w:rsidR="00F0517C" w:rsidRPr="00E71880">
        <w:rPr>
          <w:sz w:val="24"/>
          <w:szCs w:val="24"/>
        </w:rPr>
        <w:t xml:space="preserve">. </w:t>
      </w:r>
      <w:r w:rsidR="00CB3FDC" w:rsidRPr="00E71880">
        <w:rPr>
          <w:sz w:val="24"/>
          <w:szCs w:val="24"/>
        </w:rPr>
        <w:t xml:space="preserve">Some have argued that if the U.S. had the Swedish tax structure it would not have any Unicorns. On the question of </w:t>
      </w:r>
      <w:proofErr w:type="spellStart"/>
      <w:r w:rsidR="00CB3FDC" w:rsidRPr="00E71880">
        <w:rPr>
          <w:sz w:val="24"/>
          <w:szCs w:val="24"/>
        </w:rPr>
        <w:t>labor</w:t>
      </w:r>
      <w:proofErr w:type="spellEnd"/>
      <w:r w:rsidR="00CB3FDC" w:rsidRPr="00E71880">
        <w:rPr>
          <w:sz w:val="24"/>
          <w:szCs w:val="24"/>
        </w:rPr>
        <w:t xml:space="preserve"> markets there has also been conflicting results about the question of tight vs lax </w:t>
      </w:r>
      <w:proofErr w:type="spellStart"/>
      <w:r w:rsidR="00CB3FDC" w:rsidRPr="00E71880">
        <w:rPr>
          <w:sz w:val="24"/>
          <w:szCs w:val="24"/>
        </w:rPr>
        <w:t>labor</w:t>
      </w:r>
      <w:proofErr w:type="spellEnd"/>
      <w:r w:rsidR="00CB3FDC" w:rsidRPr="00E71880">
        <w:rPr>
          <w:sz w:val="24"/>
          <w:szCs w:val="24"/>
        </w:rPr>
        <w:t xml:space="preserve"> regulation. In part this depends on the type of goal that the economy has. On the question of taxes similar conflicting results have been found. Finally, if the goal of the economy is just to mop up the unemployed none of these questions are very relevant. We will now review the highlights of the literature in finance, </w:t>
      </w:r>
      <w:proofErr w:type="spellStart"/>
      <w:r w:rsidR="00CB3FDC" w:rsidRPr="00E71880">
        <w:rPr>
          <w:sz w:val="24"/>
          <w:szCs w:val="24"/>
        </w:rPr>
        <w:t>labor</w:t>
      </w:r>
      <w:proofErr w:type="spellEnd"/>
      <w:r w:rsidR="00CB3FDC" w:rsidRPr="00E71880">
        <w:rPr>
          <w:sz w:val="24"/>
          <w:szCs w:val="24"/>
        </w:rPr>
        <w:t xml:space="preserve"> markets and taxes.</w:t>
      </w:r>
      <w:r w:rsidR="00A5561A" w:rsidRPr="00E71880">
        <w:rPr>
          <w:rFonts w:cstheme="minorHAnsi"/>
          <w:sz w:val="24"/>
          <w:szCs w:val="24"/>
        </w:rPr>
        <w:t xml:space="preserve"> This literature is not meant to be exhaustive by any means. It is simple illustrative of the issues involved. </w:t>
      </w:r>
    </w:p>
    <w:p w14:paraId="15B263D1" w14:textId="77777777" w:rsidR="00A11879" w:rsidRDefault="00A11879" w:rsidP="0060328A">
      <w:pPr>
        <w:pStyle w:val="Heading2"/>
        <w:spacing w:before="200"/>
        <w:jc w:val="both"/>
      </w:pPr>
      <w:bookmarkStart w:id="26" w:name="_Toc447096850"/>
      <w:r>
        <w:t>5.1 Finance</w:t>
      </w:r>
      <w:bookmarkEnd w:id="26"/>
    </w:p>
    <w:p w14:paraId="69AD7418" w14:textId="704AEEBE" w:rsidR="00151380" w:rsidRPr="00E71880" w:rsidRDefault="00151380" w:rsidP="0060328A">
      <w:pPr>
        <w:pStyle w:val="NoSpacing"/>
        <w:spacing w:line="276" w:lineRule="auto"/>
        <w:jc w:val="both"/>
        <w:rPr>
          <w:sz w:val="24"/>
          <w:szCs w:val="24"/>
          <w:lang w:val="en-US"/>
        </w:rPr>
      </w:pPr>
      <w:proofErr w:type="spellStart"/>
      <w:r w:rsidRPr="00E71880">
        <w:rPr>
          <w:rFonts w:cstheme="minorHAnsi"/>
          <w:sz w:val="24"/>
          <w:szCs w:val="24"/>
        </w:rPr>
        <w:t>If</w:t>
      </w:r>
      <w:proofErr w:type="spellEnd"/>
      <w:r w:rsidRPr="00E71880">
        <w:rPr>
          <w:rFonts w:cstheme="minorHAnsi"/>
          <w:sz w:val="24"/>
          <w:szCs w:val="24"/>
        </w:rPr>
        <w:t xml:space="preserve"> NSE is </w:t>
      </w:r>
      <w:proofErr w:type="spellStart"/>
      <w:r w:rsidRPr="00E71880">
        <w:rPr>
          <w:rFonts w:cstheme="minorHAnsi"/>
          <w:sz w:val="24"/>
          <w:szCs w:val="24"/>
        </w:rPr>
        <w:t>about</w:t>
      </w:r>
      <w:proofErr w:type="spellEnd"/>
      <w:r w:rsidRPr="00E71880">
        <w:rPr>
          <w:rFonts w:cstheme="minorHAnsi"/>
          <w:sz w:val="24"/>
          <w:szCs w:val="24"/>
        </w:rPr>
        <w:t xml:space="preserve"> </w:t>
      </w:r>
      <w:proofErr w:type="spellStart"/>
      <w:r w:rsidRPr="00E71880">
        <w:rPr>
          <w:rFonts w:cstheme="minorHAnsi"/>
          <w:sz w:val="24"/>
          <w:szCs w:val="24"/>
        </w:rPr>
        <w:t>creating</w:t>
      </w:r>
      <w:proofErr w:type="spellEnd"/>
      <w:r w:rsidRPr="00E71880">
        <w:rPr>
          <w:rFonts w:cstheme="minorHAnsi"/>
          <w:sz w:val="24"/>
          <w:szCs w:val="24"/>
        </w:rPr>
        <w:t xml:space="preserve"> </w:t>
      </w:r>
      <w:proofErr w:type="spellStart"/>
      <w:r w:rsidRPr="00E71880">
        <w:rPr>
          <w:rFonts w:cstheme="minorHAnsi"/>
          <w:sz w:val="24"/>
          <w:szCs w:val="24"/>
        </w:rPr>
        <w:t>an</w:t>
      </w:r>
      <w:proofErr w:type="spellEnd"/>
      <w:r w:rsidRPr="00E71880">
        <w:rPr>
          <w:rFonts w:cstheme="minorHAnsi"/>
          <w:sz w:val="24"/>
          <w:szCs w:val="24"/>
        </w:rPr>
        <w:t xml:space="preserve"> </w:t>
      </w:r>
      <w:proofErr w:type="spellStart"/>
      <w:r w:rsidRPr="00E71880">
        <w:rPr>
          <w:rFonts w:cstheme="minorHAnsi"/>
          <w:sz w:val="24"/>
          <w:szCs w:val="24"/>
        </w:rPr>
        <w:t>ecosystem</w:t>
      </w:r>
      <w:proofErr w:type="spellEnd"/>
      <w:r w:rsidRPr="00E71880">
        <w:rPr>
          <w:rFonts w:cstheme="minorHAnsi"/>
          <w:sz w:val="24"/>
          <w:szCs w:val="24"/>
        </w:rPr>
        <w:t xml:space="preserve"> </w:t>
      </w:r>
      <w:proofErr w:type="spellStart"/>
      <w:r w:rsidRPr="00E71880">
        <w:rPr>
          <w:rFonts w:cstheme="minorHAnsi"/>
          <w:sz w:val="24"/>
          <w:szCs w:val="24"/>
        </w:rPr>
        <w:t>where</w:t>
      </w:r>
      <w:proofErr w:type="spellEnd"/>
      <w:r w:rsidRPr="00E71880">
        <w:rPr>
          <w:rFonts w:cstheme="minorHAnsi"/>
          <w:sz w:val="24"/>
          <w:szCs w:val="24"/>
        </w:rPr>
        <w:t xml:space="preserve"> </w:t>
      </w:r>
      <w:proofErr w:type="spellStart"/>
      <w:r w:rsidRPr="00E71880">
        <w:rPr>
          <w:rFonts w:cstheme="minorHAnsi"/>
          <w:sz w:val="24"/>
          <w:szCs w:val="24"/>
        </w:rPr>
        <w:t>the</w:t>
      </w:r>
      <w:proofErr w:type="spellEnd"/>
      <w:r w:rsidRPr="00E71880">
        <w:rPr>
          <w:rFonts w:cstheme="minorHAnsi"/>
          <w:sz w:val="24"/>
          <w:szCs w:val="24"/>
        </w:rPr>
        <w:t xml:space="preserve"> </w:t>
      </w:r>
      <w:proofErr w:type="spellStart"/>
      <w:r w:rsidRPr="00E71880">
        <w:rPr>
          <w:rFonts w:cstheme="minorHAnsi"/>
          <w:sz w:val="24"/>
          <w:szCs w:val="24"/>
        </w:rPr>
        <w:t>outcome</w:t>
      </w:r>
      <w:proofErr w:type="spellEnd"/>
      <w:r w:rsidRPr="00E71880">
        <w:rPr>
          <w:rFonts w:cstheme="minorHAnsi"/>
          <w:sz w:val="24"/>
          <w:szCs w:val="24"/>
        </w:rPr>
        <w:t xml:space="preserve"> is high </w:t>
      </w:r>
      <w:proofErr w:type="spellStart"/>
      <w:r w:rsidRPr="00E71880">
        <w:rPr>
          <w:rFonts w:cstheme="minorHAnsi"/>
          <w:sz w:val="24"/>
          <w:szCs w:val="24"/>
        </w:rPr>
        <w:t>growth</w:t>
      </w:r>
      <w:proofErr w:type="spellEnd"/>
      <w:r w:rsidRPr="00E71880">
        <w:rPr>
          <w:rFonts w:cstheme="minorHAnsi"/>
          <w:sz w:val="24"/>
          <w:szCs w:val="24"/>
        </w:rPr>
        <w:t xml:space="preserve"> </w:t>
      </w:r>
      <w:proofErr w:type="spellStart"/>
      <w:r w:rsidRPr="00E71880">
        <w:rPr>
          <w:rFonts w:cstheme="minorHAnsi"/>
          <w:sz w:val="24"/>
          <w:szCs w:val="24"/>
        </w:rPr>
        <w:t>firms</w:t>
      </w:r>
      <w:proofErr w:type="spellEnd"/>
      <w:r w:rsidRPr="00E71880">
        <w:rPr>
          <w:rFonts w:cstheme="minorHAnsi"/>
          <w:sz w:val="24"/>
          <w:szCs w:val="24"/>
        </w:rPr>
        <w:t xml:space="preserve">, </w:t>
      </w:r>
      <w:proofErr w:type="spellStart"/>
      <w:r w:rsidRPr="00E71880">
        <w:rPr>
          <w:rFonts w:cstheme="minorHAnsi"/>
          <w:sz w:val="24"/>
          <w:szCs w:val="24"/>
        </w:rPr>
        <w:t>and</w:t>
      </w:r>
      <w:proofErr w:type="spellEnd"/>
      <w:r w:rsidRPr="00E71880">
        <w:rPr>
          <w:rFonts w:cstheme="minorHAnsi"/>
          <w:sz w:val="24"/>
          <w:szCs w:val="24"/>
        </w:rPr>
        <w:t xml:space="preserve"> </w:t>
      </w:r>
      <w:proofErr w:type="spellStart"/>
      <w:r w:rsidRPr="00E71880">
        <w:rPr>
          <w:rFonts w:cstheme="minorHAnsi"/>
          <w:sz w:val="24"/>
          <w:szCs w:val="24"/>
        </w:rPr>
        <w:t>allocating</w:t>
      </w:r>
      <w:proofErr w:type="spellEnd"/>
      <w:r w:rsidRPr="00E71880">
        <w:rPr>
          <w:rFonts w:cstheme="minorHAnsi"/>
          <w:sz w:val="24"/>
          <w:szCs w:val="24"/>
        </w:rPr>
        <w:t xml:space="preserve"> resources </w:t>
      </w:r>
      <w:proofErr w:type="spellStart"/>
      <w:r w:rsidRPr="00E71880">
        <w:rPr>
          <w:rFonts w:cstheme="minorHAnsi"/>
          <w:sz w:val="24"/>
          <w:szCs w:val="24"/>
        </w:rPr>
        <w:t>to</w:t>
      </w:r>
      <w:proofErr w:type="spellEnd"/>
      <w:r w:rsidRPr="00E71880">
        <w:rPr>
          <w:rFonts w:cstheme="minorHAnsi"/>
          <w:sz w:val="24"/>
          <w:szCs w:val="24"/>
        </w:rPr>
        <w:t xml:space="preserve"> </w:t>
      </w:r>
      <w:proofErr w:type="spellStart"/>
      <w:r w:rsidRPr="00E71880">
        <w:rPr>
          <w:rFonts w:cstheme="minorHAnsi"/>
          <w:sz w:val="24"/>
          <w:szCs w:val="24"/>
        </w:rPr>
        <w:t>them</w:t>
      </w:r>
      <w:proofErr w:type="spellEnd"/>
      <w:r w:rsidRPr="00E71880">
        <w:rPr>
          <w:rFonts w:cstheme="minorHAnsi"/>
          <w:sz w:val="24"/>
          <w:szCs w:val="24"/>
        </w:rPr>
        <w:t xml:space="preserve">, </w:t>
      </w:r>
      <w:proofErr w:type="spellStart"/>
      <w:r w:rsidRPr="00E71880">
        <w:rPr>
          <w:rFonts w:cstheme="minorHAnsi"/>
          <w:sz w:val="24"/>
          <w:szCs w:val="24"/>
        </w:rPr>
        <w:t>then</w:t>
      </w:r>
      <w:proofErr w:type="spellEnd"/>
      <w:r w:rsidRPr="00E71880">
        <w:rPr>
          <w:rFonts w:cstheme="minorHAnsi"/>
          <w:sz w:val="24"/>
          <w:szCs w:val="24"/>
        </w:rPr>
        <w:t xml:space="preserve"> </w:t>
      </w:r>
      <w:proofErr w:type="spellStart"/>
      <w:r w:rsidRPr="00E71880">
        <w:rPr>
          <w:rFonts w:cstheme="minorHAnsi"/>
          <w:sz w:val="24"/>
          <w:szCs w:val="24"/>
        </w:rPr>
        <w:t>fiancia</w:t>
      </w:r>
      <w:proofErr w:type="spellEnd"/>
      <w:r w:rsidRPr="00E71880">
        <w:rPr>
          <w:rFonts w:cstheme="minorHAnsi"/>
          <w:sz w:val="24"/>
          <w:szCs w:val="24"/>
        </w:rPr>
        <w:t xml:space="preserve"> </w:t>
      </w:r>
      <w:proofErr w:type="spellStart"/>
      <w:r w:rsidRPr="00E71880">
        <w:rPr>
          <w:rFonts w:cstheme="minorHAnsi"/>
          <w:sz w:val="24"/>
          <w:szCs w:val="24"/>
        </w:rPr>
        <w:t>markets</w:t>
      </w:r>
      <w:proofErr w:type="spellEnd"/>
      <w:r w:rsidRPr="00E71880">
        <w:rPr>
          <w:rFonts w:cstheme="minorHAnsi"/>
          <w:sz w:val="24"/>
          <w:szCs w:val="24"/>
        </w:rPr>
        <w:t xml:space="preserve"> are a </w:t>
      </w:r>
      <w:proofErr w:type="spellStart"/>
      <w:r w:rsidRPr="00E71880">
        <w:rPr>
          <w:rFonts w:cstheme="minorHAnsi"/>
          <w:sz w:val="24"/>
          <w:szCs w:val="24"/>
        </w:rPr>
        <w:t>key</w:t>
      </w:r>
      <w:proofErr w:type="spellEnd"/>
      <w:r w:rsidRPr="00E71880">
        <w:rPr>
          <w:rFonts w:cstheme="minorHAnsi"/>
          <w:sz w:val="24"/>
          <w:szCs w:val="24"/>
        </w:rPr>
        <w:t xml:space="preserve"> </w:t>
      </w:r>
      <w:proofErr w:type="spellStart"/>
      <w:r w:rsidRPr="00E71880">
        <w:rPr>
          <w:rFonts w:cstheme="minorHAnsi"/>
          <w:sz w:val="24"/>
          <w:szCs w:val="24"/>
        </w:rPr>
        <w:t>institutional</w:t>
      </w:r>
      <w:proofErr w:type="spellEnd"/>
      <w:r w:rsidRPr="00E71880">
        <w:rPr>
          <w:rFonts w:cstheme="minorHAnsi"/>
          <w:sz w:val="24"/>
          <w:szCs w:val="24"/>
        </w:rPr>
        <w:t xml:space="preserve"> variables.  </w:t>
      </w:r>
    </w:p>
    <w:p w14:paraId="1FE63165" w14:textId="2C080859" w:rsidR="00112EDD" w:rsidRPr="00E71880" w:rsidRDefault="009B24CD" w:rsidP="0060328A">
      <w:pPr>
        <w:spacing w:line="276" w:lineRule="auto"/>
        <w:jc w:val="both"/>
        <w:rPr>
          <w:rFonts w:cstheme="minorHAnsi"/>
          <w:sz w:val="24"/>
          <w:szCs w:val="24"/>
        </w:rPr>
      </w:pPr>
      <w:r w:rsidRPr="00E71880">
        <w:rPr>
          <w:rFonts w:cstheme="minorHAnsi"/>
          <w:sz w:val="24"/>
          <w:szCs w:val="24"/>
        </w:rPr>
        <w:t>View</w:t>
      </w:r>
      <w:r w:rsidR="002936CA" w:rsidRPr="00E71880">
        <w:rPr>
          <w:rFonts w:cstheme="minorHAnsi"/>
          <w:sz w:val="24"/>
          <w:szCs w:val="24"/>
        </w:rPr>
        <w:t>ed</w:t>
      </w:r>
      <w:r w:rsidRPr="00E71880">
        <w:rPr>
          <w:rFonts w:cstheme="minorHAnsi"/>
          <w:sz w:val="24"/>
          <w:szCs w:val="24"/>
        </w:rPr>
        <w:t xml:space="preserve"> from the other side, the lack of finance</w:t>
      </w:r>
      <w:r w:rsidR="002936CA" w:rsidRPr="00E71880">
        <w:rPr>
          <w:rFonts w:cstheme="minorHAnsi"/>
          <w:sz w:val="24"/>
          <w:szCs w:val="24"/>
        </w:rPr>
        <w:t xml:space="preserve"> for firm growth</w:t>
      </w:r>
      <w:r w:rsidRPr="00E71880">
        <w:rPr>
          <w:rFonts w:cstheme="minorHAnsi"/>
          <w:sz w:val="24"/>
          <w:szCs w:val="24"/>
        </w:rPr>
        <w:t xml:space="preserve"> is found to be the most</w:t>
      </w:r>
      <w:r w:rsidR="00F9780F" w:rsidRPr="00E71880">
        <w:rPr>
          <w:rFonts w:cstheme="minorHAnsi"/>
          <w:sz w:val="24"/>
          <w:szCs w:val="24"/>
        </w:rPr>
        <w:t xml:space="preserve"> important factor </w:t>
      </w:r>
      <w:r w:rsidRPr="00E71880">
        <w:rPr>
          <w:rFonts w:cstheme="minorHAnsi"/>
          <w:sz w:val="24"/>
          <w:szCs w:val="24"/>
        </w:rPr>
        <w:t>impeding growth</w:t>
      </w:r>
      <w:r w:rsidR="00EE6914" w:rsidRPr="00E71880">
        <w:rPr>
          <w:rFonts w:cstheme="minorHAnsi"/>
          <w:sz w:val="24"/>
          <w:szCs w:val="24"/>
        </w:rPr>
        <w:t xml:space="preserve"> and innovation</w:t>
      </w:r>
      <w:r w:rsidRPr="00E71880">
        <w:rPr>
          <w:rFonts w:cstheme="minorHAnsi"/>
          <w:sz w:val="24"/>
          <w:szCs w:val="24"/>
        </w:rPr>
        <w:t xml:space="preserve"> </w:t>
      </w:r>
      <w:r w:rsidR="00EB03C1" w:rsidRPr="00E71880">
        <w:rPr>
          <w:rFonts w:cstheme="minorHAnsi"/>
          <w:sz w:val="24"/>
          <w:szCs w:val="24"/>
        </w:rPr>
        <w:t xml:space="preserve">in many countries </w:t>
      </w:r>
      <w:r w:rsidR="009E3A66" w:rsidRPr="00E71880">
        <w:rPr>
          <w:rFonts w:cstheme="minorHAnsi"/>
          <w:sz w:val="24"/>
          <w:szCs w:val="24"/>
        </w:rPr>
        <w:t>(</w:t>
      </w:r>
      <w:r w:rsidR="00EE6914" w:rsidRPr="00E71880">
        <w:rPr>
          <w:rFonts w:cstheme="minorHAnsi"/>
          <w:sz w:val="24"/>
          <w:szCs w:val="24"/>
        </w:rPr>
        <w:t xml:space="preserve">Lee et al 2015, </w:t>
      </w:r>
      <w:r w:rsidR="00092D27" w:rsidRPr="00E71880">
        <w:rPr>
          <w:rFonts w:cstheme="minorHAnsi"/>
          <w:sz w:val="24"/>
          <w:szCs w:val="24"/>
        </w:rPr>
        <w:t xml:space="preserve">Levine 2005, </w:t>
      </w:r>
      <w:r w:rsidR="009E177A" w:rsidRPr="00E71880">
        <w:rPr>
          <w:rFonts w:cstheme="minorHAnsi"/>
          <w:sz w:val="24"/>
          <w:szCs w:val="24"/>
        </w:rPr>
        <w:t>Fraser et al 2015</w:t>
      </w:r>
      <w:r w:rsidR="007D1C78" w:rsidRPr="00E71880">
        <w:rPr>
          <w:rFonts w:cstheme="minorHAnsi"/>
          <w:sz w:val="24"/>
          <w:szCs w:val="24"/>
        </w:rPr>
        <w:t>)</w:t>
      </w:r>
      <w:r w:rsidR="009E3A66" w:rsidRPr="00E71880">
        <w:rPr>
          <w:rFonts w:cstheme="minorHAnsi"/>
          <w:sz w:val="24"/>
          <w:szCs w:val="24"/>
        </w:rPr>
        <w:t>.</w:t>
      </w:r>
      <w:r w:rsidR="00112EDD" w:rsidRPr="00E71880">
        <w:rPr>
          <w:rFonts w:cstheme="minorHAnsi"/>
          <w:sz w:val="24"/>
          <w:szCs w:val="24"/>
        </w:rPr>
        <w:t xml:space="preserve"> </w:t>
      </w:r>
    </w:p>
    <w:p w14:paraId="17F81ACC" w14:textId="5D01B4C6" w:rsidR="001D3CAD" w:rsidRPr="00E71880" w:rsidRDefault="00525292" w:rsidP="0060328A">
      <w:pPr>
        <w:spacing w:line="276" w:lineRule="auto"/>
        <w:ind w:firstLine="708"/>
        <w:jc w:val="both"/>
        <w:rPr>
          <w:rFonts w:cstheme="minorHAnsi"/>
          <w:sz w:val="24"/>
          <w:szCs w:val="24"/>
        </w:rPr>
      </w:pPr>
      <w:r w:rsidRPr="00E71880">
        <w:rPr>
          <w:rFonts w:cstheme="minorHAnsi"/>
          <w:sz w:val="24"/>
          <w:szCs w:val="24"/>
        </w:rPr>
        <w:t xml:space="preserve">Starting a new business is highly risky by itself and </w:t>
      </w:r>
      <w:r w:rsidR="00EB03C1" w:rsidRPr="00E71880">
        <w:rPr>
          <w:rFonts w:cstheme="minorHAnsi"/>
          <w:sz w:val="24"/>
          <w:szCs w:val="24"/>
        </w:rPr>
        <w:t xml:space="preserve">non-diversifiable </w:t>
      </w:r>
      <w:r w:rsidRPr="00E71880">
        <w:rPr>
          <w:rFonts w:cstheme="minorHAnsi"/>
          <w:sz w:val="24"/>
          <w:szCs w:val="24"/>
        </w:rPr>
        <w:t>uncertainty</w:t>
      </w:r>
      <w:r w:rsidR="006501F5" w:rsidRPr="00E71880">
        <w:rPr>
          <w:rFonts w:cstheme="minorHAnsi"/>
          <w:sz w:val="24"/>
          <w:szCs w:val="24"/>
        </w:rPr>
        <w:t xml:space="preserve"> exponentially increases as innovation and growth </w:t>
      </w:r>
      <w:r w:rsidR="00975297" w:rsidRPr="00E71880">
        <w:rPr>
          <w:rFonts w:cstheme="minorHAnsi"/>
          <w:sz w:val="24"/>
          <w:szCs w:val="24"/>
        </w:rPr>
        <w:t xml:space="preserve">are </w:t>
      </w:r>
      <w:r w:rsidR="006501F5" w:rsidRPr="00E71880">
        <w:rPr>
          <w:rFonts w:cstheme="minorHAnsi"/>
          <w:sz w:val="24"/>
          <w:szCs w:val="24"/>
        </w:rPr>
        <w:t>involved</w:t>
      </w:r>
      <w:r w:rsidRPr="00E71880">
        <w:rPr>
          <w:rFonts w:cstheme="minorHAnsi"/>
          <w:sz w:val="24"/>
          <w:szCs w:val="24"/>
        </w:rPr>
        <w:t xml:space="preserve"> (</w:t>
      </w:r>
      <w:r w:rsidR="00AE20D4" w:rsidRPr="00E71880">
        <w:rPr>
          <w:rFonts w:cstheme="minorHAnsi"/>
          <w:sz w:val="24"/>
          <w:szCs w:val="24"/>
        </w:rPr>
        <w:t>Chen et al 2010</w:t>
      </w:r>
      <w:r w:rsidR="00BA483F" w:rsidRPr="00E71880">
        <w:rPr>
          <w:rFonts w:cstheme="minorHAnsi"/>
          <w:sz w:val="24"/>
          <w:szCs w:val="24"/>
        </w:rPr>
        <w:t>, Lerner et al 2011</w:t>
      </w:r>
      <w:r w:rsidR="00AE20D4" w:rsidRPr="00E71880">
        <w:rPr>
          <w:rFonts w:cstheme="minorHAnsi"/>
          <w:sz w:val="24"/>
          <w:szCs w:val="24"/>
        </w:rPr>
        <w:t>)</w:t>
      </w:r>
      <w:r w:rsidR="006501F5" w:rsidRPr="00E71880">
        <w:rPr>
          <w:rFonts w:cstheme="minorHAnsi"/>
          <w:sz w:val="24"/>
          <w:szCs w:val="24"/>
        </w:rPr>
        <w:t xml:space="preserve">. </w:t>
      </w:r>
      <w:r w:rsidR="00F546F0" w:rsidRPr="00E71880">
        <w:rPr>
          <w:rFonts w:cstheme="minorHAnsi"/>
          <w:sz w:val="24"/>
          <w:szCs w:val="24"/>
        </w:rPr>
        <w:t xml:space="preserve">At the same time, the outside financing needs of these </w:t>
      </w:r>
      <w:r w:rsidR="003C190E" w:rsidRPr="00E71880">
        <w:rPr>
          <w:rFonts w:cstheme="minorHAnsi"/>
          <w:sz w:val="24"/>
          <w:szCs w:val="24"/>
        </w:rPr>
        <w:t>high growth firms</w:t>
      </w:r>
      <w:r w:rsidR="00F546F0" w:rsidRPr="00E71880">
        <w:rPr>
          <w:rFonts w:cstheme="minorHAnsi"/>
          <w:sz w:val="24"/>
          <w:szCs w:val="24"/>
        </w:rPr>
        <w:t xml:space="preserve"> also </w:t>
      </w:r>
      <w:r w:rsidR="002E23A5" w:rsidRPr="00E71880">
        <w:rPr>
          <w:rFonts w:cstheme="minorHAnsi"/>
          <w:sz w:val="24"/>
          <w:szCs w:val="24"/>
        </w:rPr>
        <w:t>rise</w:t>
      </w:r>
      <w:r w:rsidR="00F546F0" w:rsidRPr="00E71880">
        <w:rPr>
          <w:rFonts w:cstheme="minorHAnsi"/>
          <w:sz w:val="24"/>
          <w:szCs w:val="24"/>
        </w:rPr>
        <w:t xml:space="preserve"> as self-financing </w:t>
      </w:r>
      <w:r w:rsidR="002E23A5" w:rsidRPr="00E71880">
        <w:rPr>
          <w:rFonts w:cstheme="minorHAnsi"/>
          <w:sz w:val="24"/>
          <w:szCs w:val="24"/>
        </w:rPr>
        <w:t>resources are quickly exhausted due to rapid growth.</w:t>
      </w:r>
      <w:r w:rsidR="007E12FE" w:rsidRPr="00E71880">
        <w:rPr>
          <w:rFonts w:cstheme="minorHAnsi"/>
          <w:sz w:val="24"/>
          <w:szCs w:val="24"/>
        </w:rPr>
        <w:t xml:space="preserve"> </w:t>
      </w:r>
      <w:r w:rsidR="00433A52" w:rsidRPr="00E71880">
        <w:rPr>
          <w:rFonts w:cstheme="minorHAnsi"/>
          <w:sz w:val="24"/>
          <w:szCs w:val="24"/>
        </w:rPr>
        <w:t xml:space="preserve">Since risk fundamentally influences the type of financing high growth innovative ventures require </w:t>
      </w:r>
      <w:r w:rsidR="00DC1AB7" w:rsidRPr="00E71880">
        <w:rPr>
          <w:rFonts w:cstheme="minorHAnsi"/>
          <w:sz w:val="24"/>
          <w:szCs w:val="24"/>
        </w:rPr>
        <w:t xml:space="preserve">entrepreneurial firms require </w:t>
      </w:r>
      <w:r w:rsidR="00433A52" w:rsidRPr="00E71880">
        <w:rPr>
          <w:rFonts w:cstheme="minorHAnsi"/>
          <w:sz w:val="24"/>
          <w:szCs w:val="24"/>
        </w:rPr>
        <w:t>different finance than other businesses</w:t>
      </w:r>
      <w:r w:rsidR="002604AF" w:rsidRPr="00E71880">
        <w:rPr>
          <w:rFonts w:cstheme="minorHAnsi"/>
          <w:sz w:val="24"/>
          <w:szCs w:val="24"/>
        </w:rPr>
        <w:t xml:space="preserve"> (Denis 2004, </w:t>
      </w:r>
      <w:proofErr w:type="spellStart"/>
      <w:r w:rsidR="009E177A" w:rsidRPr="00E71880">
        <w:rPr>
          <w:rFonts w:cstheme="minorHAnsi"/>
          <w:sz w:val="24"/>
          <w:szCs w:val="24"/>
        </w:rPr>
        <w:t>Mitter</w:t>
      </w:r>
      <w:proofErr w:type="spellEnd"/>
      <w:r w:rsidR="009E177A" w:rsidRPr="00E71880">
        <w:rPr>
          <w:rFonts w:cstheme="minorHAnsi"/>
          <w:sz w:val="24"/>
          <w:szCs w:val="24"/>
        </w:rPr>
        <w:t xml:space="preserve"> and Kraus 2011)</w:t>
      </w:r>
      <w:r w:rsidR="00433A52" w:rsidRPr="00E71880">
        <w:rPr>
          <w:rFonts w:cstheme="minorHAnsi"/>
          <w:sz w:val="24"/>
          <w:szCs w:val="24"/>
        </w:rPr>
        <w:t xml:space="preserve">. </w:t>
      </w:r>
      <w:r w:rsidR="003C190E" w:rsidRPr="00E71880">
        <w:rPr>
          <w:rFonts w:cstheme="minorHAnsi"/>
          <w:sz w:val="24"/>
          <w:szCs w:val="24"/>
        </w:rPr>
        <w:t>Entrepreneurial finance</w:t>
      </w:r>
      <w:r w:rsidRPr="00E71880">
        <w:rPr>
          <w:rFonts w:cstheme="minorHAnsi"/>
          <w:sz w:val="24"/>
          <w:szCs w:val="24"/>
        </w:rPr>
        <w:t xml:space="preserve"> is influenced by information asymmetries and moral hazard issues (</w:t>
      </w:r>
      <w:r w:rsidR="000E060D" w:rsidRPr="00E71880">
        <w:rPr>
          <w:rFonts w:eastAsia="Times New Roman"/>
          <w:sz w:val="24"/>
          <w:szCs w:val="24"/>
          <w:lang w:val="hu-HU" w:eastAsia="hu-HU"/>
        </w:rPr>
        <w:t xml:space="preserve">Nofsinger and Wang 2011). </w:t>
      </w:r>
      <w:r w:rsidRPr="00E71880">
        <w:rPr>
          <w:rFonts w:cstheme="minorHAnsi"/>
          <w:sz w:val="24"/>
          <w:szCs w:val="24"/>
        </w:rPr>
        <w:t xml:space="preserve"> </w:t>
      </w:r>
      <w:r w:rsidR="00EC62DC" w:rsidRPr="00E71880">
        <w:rPr>
          <w:rFonts w:cstheme="minorHAnsi"/>
          <w:sz w:val="24"/>
          <w:szCs w:val="24"/>
        </w:rPr>
        <w:t xml:space="preserve">Here, we are looking for </w:t>
      </w:r>
      <w:r w:rsidR="005708BD" w:rsidRPr="00E71880">
        <w:rPr>
          <w:rFonts w:cstheme="minorHAnsi"/>
          <w:sz w:val="24"/>
          <w:szCs w:val="24"/>
        </w:rPr>
        <w:t xml:space="preserve">primarily </w:t>
      </w:r>
      <w:r w:rsidR="00EC62DC" w:rsidRPr="00E71880">
        <w:rPr>
          <w:rFonts w:cstheme="minorHAnsi"/>
          <w:sz w:val="24"/>
          <w:szCs w:val="24"/>
        </w:rPr>
        <w:t xml:space="preserve">those financial institutions and instruments that </w:t>
      </w:r>
      <w:r w:rsidR="009C1AE7" w:rsidRPr="00E71880">
        <w:rPr>
          <w:rFonts w:cstheme="minorHAnsi"/>
          <w:sz w:val="24"/>
          <w:szCs w:val="24"/>
        </w:rPr>
        <w:t xml:space="preserve">are </w:t>
      </w:r>
      <w:r w:rsidR="00560B01" w:rsidRPr="00E71880">
        <w:rPr>
          <w:rFonts w:cstheme="minorHAnsi"/>
          <w:sz w:val="24"/>
          <w:szCs w:val="24"/>
        </w:rPr>
        <w:t xml:space="preserve">proper for </w:t>
      </w:r>
      <w:r w:rsidR="003C190E" w:rsidRPr="00E71880">
        <w:rPr>
          <w:rFonts w:cstheme="minorHAnsi"/>
          <w:sz w:val="24"/>
          <w:szCs w:val="24"/>
        </w:rPr>
        <w:t>high growth firms</w:t>
      </w:r>
      <w:r w:rsidR="00532A3C" w:rsidRPr="00E71880">
        <w:rPr>
          <w:rFonts w:cstheme="minorHAnsi"/>
          <w:sz w:val="24"/>
          <w:szCs w:val="24"/>
        </w:rPr>
        <w:t xml:space="preserve"> but</w:t>
      </w:r>
      <w:r w:rsidR="00560B01" w:rsidRPr="00E71880">
        <w:rPr>
          <w:rFonts w:cstheme="minorHAnsi"/>
          <w:sz w:val="24"/>
          <w:szCs w:val="24"/>
        </w:rPr>
        <w:t xml:space="preserve"> taking into account the whole spectrum of financing over the life cycle of the business.</w:t>
      </w:r>
      <w:r w:rsidR="00532A3C" w:rsidRPr="00E71880">
        <w:rPr>
          <w:rFonts w:cstheme="minorHAnsi"/>
          <w:sz w:val="24"/>
          <w:szCs w:val="24"/>
        </w:rPr>
        <w:t xml:space="preserve"> </w:t>
      </w:r>
    </w:p>
    <w:p w14:paraId="7D2114E5" w14:textId="1B650806" w:rsidR="00560B01" w:rsidRPr="00E71880" w:rsidRDefault="002A4ECC" w:rsidP="0060328A">
      <w:pPr>
        <w:spacing w:line="276" w:lineRule="auto"/>
        <w:ind w:firstLine="708"/>
        <w:jc w:val="both"/>
        <w:rPr>
          <w:sz w:val="24"/>
          <w:szCs w:val="24"/>
        </w:rPr>
      </w:pPr>
      <w:r w:rsidRPr="00E71880">
        <w:rPr>
          <w:rFonts w:cstheme="minorHAnsi"/>
          <w:sz w:val="24"/>
          <w:szCs w:val="24"/>
        </w:rPr>
        <w:t>Contrary to general beliefs, recent researches found bank related lending sources</w:t>
      </w:r>
      <w:r w:rsidR="00847B1C" w:rsidRPr="00E71880">
        <w:rPr>
          <w:rFonts w:cstheme="minorHAnsi"/>
          <w:sz w:val="24"/>
          <w:szCs w:val="24"/>
        </w:rPr>
        <w:t xml:space="preserve"> as an important source of finance</w:t>
      </w:r>
      <w:r w:rsidR="00B4656E" w:rsidRPr="00E71880">
        <w:rPr>
          <w:rFonts w:cstheme="minorHAnsi"/>
          <w:sz w:val="24"/>
          <w:szCs w:val="24"/>
        </w:rPr>
        <w:t xml:space="preserve"> f</w:t>
      </w:r>
      <w:r w:rsidR="00D809BF" w:rsidRPr="00E71880">
        <w:rPr>
          <w:rFonts w:cstheme="minorHAnsi"/>
          <w:sz w:val="24"/>
          <w:szCs w:val="24"/>
        </w:rPr>
        <w:t xml:space="preserve"> </w:t>
      </w:r>
      <w:r w:rsidR="00B4656E" w:rsidRPr="00E71880">
        <w:rPr>
          <w:rFonts w:cstheme="minorHAnsi"/>
          <w:sz w:val="24"/>
          <w:szCs w:val="24"/>
        </w:rPr>
        <w:t xml:space="preserve">or small businesses and </w:t>
      </w:r>
      <w:r w:rsidR="00DC1AB7" w:rsidRPr="00E71880">
        <w:rPr>
          <w:rFonts w:cstheme="minorHAnsi"/>
          <w:sz w:val="24"/>
          <w:szCs w:val="24"/>
        </w:rPr>
        <w:t>start-ups</w:t>
      </w:r>
      <w:r w:rsidR="00847B1C" w:rsidRPr="00E71880">
        <w:rPr>
          <w:rFonts w:cstheme="minorHAnsi"/>
          <w:sz w:val="24"/>
          <w:szCs w:val="24"/>
        </w:rPr>
        <w:t xml:space="preserve">. Even amongst </w:t>
      </w:r>
      <w:r w:rsidR="00DC1AB7" w:rsidRPr="00E71880">
        <w:rPr>
          <w:rFonts w:cstheme="minorHAnsi"/>
          <w:sz w:val="24"/>
          <w:szCs w:val="24"/>
        </w:rPr>
        <w:t>start-ups</w:t>
      </w:r>
      <w:r w:rsidR="00847B1C" w:rsidRPr="00E71880">
        <w:rPr>
          <w:rFonts w:cstheme="minorHAnsi"/>
          <w:sz w:val="24"/>
          <w:szCs w:val="24"/>
        </w:rPr>
        <w:t xml:space="preserve"> receiving informal and formal venture capital there </w:t>
      </w:r>
      <w:r w:rsidR="005B3B2B" w:rsidRPr="00E71880">
        <w:rPr>
          <w:rFonts w:cstheme="minorHAnsi"/>
          <w:sz w:val="24"/>
          <w:szCs w:val="24"/>
        </w:rPr>
        <w:t>was a</w:t>
      </w:r>
      <w:r w:rsidR="00847B1C" w:rsidRPr="00E71880">
        <w:rPr>
          <w:rFonts w:cstheme="minorHAnsi"/>
          <w:sz w:val="24"/>
          <w:szCs w:val="24"/>
        </w:rPr>
        <w:t xml:space="preserve"> considerable share of debt related sources (</w:t>
      </w:r>
      <w:r w:rsidR="00A06494" w:rsidRPr="00E71880">
        <w:rPr>
          <w:rFonts w:cstheme="minorHAnsi"/>
          <w:sz w:val="24"/>
          <w:szCs w:val="24"/>
        </w:rPr>
        <w:t xml:space="preserve">Hirsh and </w:t>
      </w:r>
      <w:proofErr w:type="spellStart"/>
      <w:r w:rsidR="00A06494" w:rsidRPr="00E71880">
        <w:rPr>
          <w:rFonts w:cstheme="minorHAnsi"/>
          <w:sz w:val="24"/>
          <w:szCs w:val="24"/>
        </w:rPr>
        <w:t>Walz</w:t>
      </w:r>
      <w:proofErr w:type="spellEnd"/>
      <w:r w:rsidR="00A06494" w:rsidRPr="00E71880">
        <w:rPr>
          <w:rFonts w:cstheme="minorHAnsi"/>
          <w:sz w:val="24"/>
          <w:szCs w:val="24"/>
        </w:rPr>
        <w:t xml:space="preserve"> 2011; Much and </w:t>
      </w:r>
      <w:proofErr w:type="spellStart"/>
      <w:r w:rsidR="00A06494" w:rsidRPr="00E71880">
        <w:rPr>
          <w:rFonts w:cstheme="minorHAnsi"/>
          <w:sz w:val="24"/>
          <w:szCs w:val="24"/>
        </w:rPr>
        <w:t>Wolken</w:t>
      </w:r>
      <w:proofErr w:type="spellEnd"/>
      <w:r w:rsidR="00A06494" w:rsidRPr="00E71880">
        <w:rPr>
          <w:rFonts w:cstheme="minorHAnsi"/>
          <w:sz w:val="24"/>
          <w:szCs w:val="24"/>
        </w:rPr>
        <w:t xml:space="preserve"> 2012, </w:t>
      </w:r>
      <w:r w:rsidR="00847B1C" w:rsidRPr="00E71880">
        <w:rPr>
          <w:rFonts w:cstheme="minorHAnsi"/>
          <w:sz w:val="24"/>
          <w:szCs w:val="24"/>
        </w:rPr>
        <w:t>Robb and Robinson 2012).</w:t>
      </w:r>
      <w:r w:rsidR="00096483" w:rsidRPr="00E71880">
        <w:rPr>
          <w:rFonts w:cstheme="minorHAnsi"/>
          <w:sz w:val="24"/>
          <w:szCs w:val="24"/>
        </w:rPr>
        <w:t xml:space="preserve"> However, </w:t>
      </w:r>
      <w:r w:rsidR="004F5CA1" w:rsidRPr="00E71880">
        <w:rPr>
          <w:rFonts w:cstheme="minorHAnsi"/>
          <w:sz w:val="24"/>
          <w:szCs w:val="24"/>
        </w:rPr>
        <w:t xml:space="preserve">equity </w:t>
      </w:r>
      <w:r w:rsidR="00DF435A" w:rsidRPr="00E71880">
        <w:rPr>
          <w:rFonts w:cstheme="minorHAnsi"/>
          <w:sz w:val="24"/>
          <w:szCs w:val="24"/>
        </w:rPr>
        <w:t>stake</w:t>
      </w:r>
      <w:r w:rsidR="004F5CA1" w:rsidRPr="00E71880">
        <w:rPr>
          <w:rFonts w:cstheme="minorHAnsi"/>
          <w:sz w:val="24"/>
          <w:szCs w:val="24"/>
        </w:rPr>
        <w:t xml:space="preserve">holders like business angels and venture capitalist </w:t>
      </w:r>
      <w:r w:rsidR="00DF435A" w:rsidRPr="00E71880">
        <w:rPr>
          <w:rFonts w:cstheme="minorHAnsi"/>
          <w:sz w:val="24"/>
          <w:szCs w:val="24"/>
        </w:rPr>
        <w:t xml:space="preserve">have different investment and risk </w:t>
      </w:r>
      <w:r w:rsidR="00DF5832" w:rsidRPr="00E71880">
        <w:rPr>
          <w:rFonts w:cstheme="minorHAnsi"/>
          <w:sz w:val="24"/>
          <w:szCs w:val="24"/>
        </w:rPr>
        <w:t xml:space="preserve">alleviating </w:t>
      </w:r>
      <w:r w:rsidR="00DF435A" w:rsidRPr="00E71880">
        <w:rPr>
          <w:rFonts w:cstheme="minorHAnsi"/>
          <w:sz w:val="24"/>
          <w:szCs w:val="24"/>
        </w:rPr>
        <w:t>strategies as compared to debtors</w:t>
      </w:r>
      <w:r w:rsidR="00EE6914" w:rsidRPr="00E71880">
        <w:rPr>
          <w:rFonts w:cstheme="minorHAnsi"/>
          <w:sz w:val="24"/>
          <w:szCs w:val="24"/>
        </w:rPr>
        <w:t xml:space="preserve"> (Berger and </w:t>
      </w:r>
      <w:proofErr w:type="spellStart"/>
      <w:r w:rsidR="00EE6914" w:rsidRPr="00E71880">
        <w:rPr>
          <w:rFonts w:cstheme="minorHAnsi"/>
          <w:sz w:val="24"/>
          <w:szCs w:val="24"/>
        </w:rPr>
        <w:t>Udell</w:t>
      </w:r>
      <w:proofErr w:type="spellEnd"/>
      <w:r w:rsidR="00EE6914" w:rsidRPr="00E71880">
        <w:rPr>
          <w:rFonts w:cstheme="minorHAnsi"/>
          <w:sz w:val="24"/>
          <w:szCs w:val="24"/>
        </w:rPr>
        <w:t xml:space="preserve"> 1998,</w:t>
      </w:r>
      <w:r w:rsidR="00976DA4" w:rsidRPr="00E71880">
        <w:rPr>
          <w:rFonts w:cstheme="minorHAnsi"/>
          <w:sz w:val="24"/>
          <w:szCs w:val="24"/>
        </w:rPr>
        <w:t xml:space="preserve"> </w:t>
      </w:r>
      <w:proofErr w:type="spellStart"/>
      <w:r w:rsidR="00976DA4" w:rsidRPr="00E71880">
        <w:rPr>
          <w:rFonts w:cstheme="minorHAnsi"/>
          <w:sz w:val="24"/>
          <w:szCs w:val="24"/>
        </w:rPr>
        <w:t>Ewens</w:t>
      </w:r>
      <w:proofErr w:type="spellEnd"/>
      <w:r w:rsidR="00976DA4" w:rsidRPr="00E71880">
        <w:rPr>
          <w:rFonts w:cstheme="minorHAnsi"/>
          <w:sz w:val="24"/>
          <w:szCs w:val="24"/>
        </w:rPr>
        <w:t xml:space="preserve"> et al 2013)</w:t>
      </w:r>
      <w:r w:rsidR="00284B49" w:rsidRPr="00E71880">
        <w:rPr>
          <w:rFonts w:cstheme="minorHAnsi"/>
          <w:sz w:val="24"/>
          <w:szCs w:val="24"/>
        </w:rPr>
        <w:t>. Besides additional finance t</w:t>
      </w:r>
      <w:r w:rsidR="00DF5832" w:rsidRPr="00E71880">
        <w:rPr>
          <w:rFonts w:cstheme="minorHAnsi"/>
          <w:sz w:val="24"/>
          <w:szCs w:val="24"/>
        </w:rPr>
        <w:t>hese</w:t>
      </w:r>
      <w:r w:rsidR="00284B49" w:rsidRPr="00E71880">
        <w:rPr>
          <w:rFonts w:cstheme="minorHAnsi"/>
          <w:sz w:val="24"/>
          <w:szCs w:val="24"/>
        </w:rPr>
        <w:t xml:space="preserve"> experienced investors provide useful, valuable assistance and help for </w:t>
      </w:r>
      <w:r w:rsidR="00DC1AB7" w:rsidRPr="00E71880">
        <w:rPr>
          <w:rFonts w:cstheme="minorHAnsi"/>
          <w:sz w:val="24"/>
          <w:szCs w:val="24"/>
        </w:rPr>
        <w:t>start-ups</w:t>
      </w:r>
      <w:r w:rsidR="00284B49" w:rsidRPr="00E71880">
        <w:rPr>
          <w:rFonts w:cstheme="minorHAnsi"/>
          <w:sz w:val="24"/>
          <w:szCs w:val="24"/>
        </w:rPr>
        <w:t xml:space="preserve"> to avoid common pitfalls and decrease risk associated with innovation and growth. </w:t>
      </w:r>
      <w:r w:rsidR="002E5FA6" w:rsidRPr="00E71880">
        <w:rPr>
          <w:rFonts w:cstheme="minorHAnsi"/>
          <w:sz w:val="24"/>
          <w:szCs w:val="24"/>
        </w:rPr>
        <w:t xml:space="preserve">While </w:t>
      </w:r>
      <w:r w:rsidR="008F2315" w:rsidRPr="00E71880">
        <w:rPr>
          <w:rFonts w:cstheme="minorHAnsi"/>
          <w:sz w:val="24"/>
          <w:szCs w:val="24"/>
        </w:rPr>
        <w:t xml:space="preserve">most empirical studies reinforce the additional positive effect of venture capital investment on the portfolio venture </w:t>
      </w:r>
      <w:r w:rsidR="00B63FA4" w:rsidRPr="00E71880">
        <w:rPr>
          <w:rFonts w:cstheme="minorHAnsi"/>
          <w:sz w:val="24"/>
          <w:szCs w:val="24"/>
        </w:rPr>
        <w:t xml:space="preserve">the magnitude of value added varies over countries, industries and venture capital funds </w:t>
      </w:r>
      <w:r w:rsidR="008F2315" w:rsidRPr="00E71880">
        <w:rPr>
          <w:rFonts w:cstheme="minorHAnsi"/>
          <w:sz w:val="24"/>
          <w:szCs w:val="24"/>
        </w:rPr>
        <w:t>(</w:t>
      </w:r>
      <w:r w:rsidR="00B63FA4" w:rsidRPr="00E71880">
        <w:rPr>
          <w:sz w:val="24"/>
          <w:szCs w:val="24"/>
        </w:rPr>
        <w:t xml:space="preserve">Arthurs and </w:t>
      </w:r>
      <w:proofErr w:type="spellStart"/>
      <w:r w:rsidR="00B63FA4" w:rsidRPr="00E71880">
        <w:rPr>
          <w:sz w:val="24"/>
          <w:szCs w:val="24"/>
        </w:rPr>
        <w:t>Busenitz</w:t>
      </w:r>
      <w:proofErr w:type="spellEnd"/>
      <w:r w:rsidR="00B63FA4" w:rsidRPr="00E71880">
        <w:rPr>
          <w:sz w:val="24"/>
          <w:szCs w:val="24"/>
        </w:rPr>
        <w:t xml:space="preserve"> 2006, </w:t>
      </w:r>
      <w:r w:rsidR="00B63FA4" w:rsidRPr="00E71880">
        <w:rPr>
          <w:rFonts w:cstheme="minorHAnsi"/>
          <w:sz w:val="24"/>
          <w:szCs w:val="24"/>
        </w:rPr>
        <w:t xml:space="preserve">Croce et al 2013, </w:t>
      </w:r>
      <w:r w:rsidR="00B63FA4" w:rsidRPr="00E71880">
        <w:rPr>
          <w:sz w:val="24"/>
          <w:szCs w:val="24"/>
        </w:rPr>
        <w:t xml:space="preserve">Davila et al 2003). </w:t>
      </w:r>
      <w:r w:rsidR="00A06F38" w:rsidRPr="00E71880">
        <w:rPr>
          <w:sz w:val="24"/>
          <w:szCs w:val="24"/>
        </w:rPr>
        <w:t>Similar positive but varying degree effects exist in the case of business angel investment (</w:t>
      </w:r>
      <w:r w:rsidR="00CE6118" w:rsidRPr="00E71880">
        <w:rPr>
          <w:sz w:val="24"/>
          <w:szCs w:val="24"/>
        </w:rPr>
        <w:t xml:space="preserve">Kerr et al 2014, </w:t>
      </w:r>
      <w:proofErr w:type="spellStart"/>
      <w:r w:rsidR="00BB280B" w:rsidRPr="00E71880">
        <w:rPr>
          <w:sz w:val="24"/>
          <w:szCs w:val="24"/>
        </w:rPr>
        <w:t>Politis</w:t>
      </w:r>
      <w:proofErr w:type="spellEnd"/>
      <w:r w:rsidR="00BB280B" w:rsidRPr="00E71880">
        <w:rPr>
          <w:sz w:val="24"/>
          <w:szCs w:val="24"/>
        </w:rPr>
        <w:t xml:space="preserve"> 2008, </w:t>
      </w:r>
      <w:proofErr w:type="spellStart"/>
      <w:r w:rsidR="00BB280B" w:rsidRPr="00E71880">
        <w:rPr>
          <w:sz w:val="24"/>
          <w:szCs w:val="24"/>
        </w:rPr>
        <w:t>Wiltbank</w:t>
      </w:r>
      <w:proofErr w:type="spellEnd"/>
      <w:r w:rsidR="00BB280B" w:rsidRPr="00E71880">
        <w:rPr>
          <w:sz w:val="24"/>
          <w:szCs w:val="24"/>
        </w:rPr>
        <w:t xml:space="preserve"> et al 2009). </w:t>
      </w:r>
    </w:p>
    <w:p w14:paraId="76BFF081" w14:textId="0AAC22D0" w:rsidR="00D137F6" w:rsidRPr="00E71880" w:rsidRDefault="00D137F6" w:rsidP="0060328A">
      <w:pPr>
        <w:spacing w:line="276" w:lineRule="auto"/>
        <w:ind w:firstLine="708"/>
        <w:jc w:val="both"/>
        <w:rPr>
          <w:sz w:val="24"/>
          <w:szCs w:val="24"/>
        </w:rPr>
      </w:pPr>
      <w:r w:rsidRPr="00E71880">
        <w:rPr>
          <w:sz w:val="24"/>
          <w:szCs w:val="24"/>
        </w:rPr>
        <w:t xml:space="preserve">So how will that be made part of the indicator? At the very least you should attempt to include something on the composition of available equity and debt in the national </w:t>
      </w:r>
      <w:r w:rsidRPr="00E71880">
        <w:rPr>
          <w:sz w:val="24"/>
          <w:szCs w:val="24"/>
        </w:rPr>
        <w:lastRenderedPageBreak/>
        <w:t xml:space="preserve">financial system. One of the main directions in our project is to argue that EU financial markets are being pushed in the wrong direction. </w:t>
      </w:r>
      <w:r w:rsidR="00DC1AB7" w:rsidRPr="00E71880">
        <w:rPr>
          <w:sz w:val="24"/>
          <w:szCs w:val="24"/>
        </w:rPr>
        <w:t>Bigger</w:t>
      </w:r>
      <w:r w:rsidRPr="00E71880">
        <w:rPr>
          <w:sz w:val="24"/>
          <w:szCs w:val="24"/>
        </w:rPr>
        <w:t xml:space="preserve"> bank debt finance is not what an experimental healthy entrepreneurial ecosystem requires. If you want to argue that bank debt is important for </w:t>
      </w:r>
      <w:r w:rsidR="00DC1AB7" w:rsidRPr="00E71880">
        <w:rPr>
          <w:sz w:val="24"/>
          <w:szCs w:val="24"/>
        </w:rPr>
        <w:t>start-up</w:t>
      </w:r>
      <w:r w:rsidRPr="00E71880">
        <w:rPr>
          <w:sz w:val="24"/>
          <w:szCs w:val="24"/>
        </w:rPr>
        <w:t xml:space="preserve"> finance you need much more evidence, as that goes against everything we think we know. Banks do not finance high-risk </w:t>
      </w:r>
      <w:r w:rsidR="00E812C8" w:rsidRPr="00E71880">
        <w:rPr>
          <w:sz w:val="24"/>
          <w:szCs w:val="24"/>
        </w:rPr>
        <w:t>start-ups</w:t>
      </w:r>
      <w:r w:rsidRPr="00E71880">
        <w:rPr>
          <w:sz w:val="24"/>
          <w:szCs w:val="24"/>
        </w:rPr>
        <w:t xml:space="preserve">. The owners of those </w:t>
      </w:r>
      <w:r w:rsidR="00E812C8" w:rsidRPr="00E71880">
        <w:rPr>
          <w:sz w:val="24"/>
          <w:szCs w:val="24"/>
        </w:rPr>
        <w:t>start-ups</w:t>
      </w:r>
      <w:r w:rsidRPr="00E71880">
        <w:rPr>
          <w:sz w:val="24"/>
          <w:szCs w:val="24"/>
        </w:rPr>
        <w:t xml:space="preserve"> may draw on bank credit, but they have to put up collateral and private security. Banks do not take risks. Neither do pension funds and insurance companies. </w:t>
      </w:r>
    </w:p>
    <w:p w14:paraId="097EDF04" w14:textId="3D3CB6E3" w:rsidR="00A278B5" w:rsidRPr="00E71880" w:rsidRDefault="004A519B" w:rsidP="0060328A">
      <w:pPr>
        <w:spacing w:line="276" w:lineRule="auto"/>
        <w:ind w:firstLine="708"/>
        <w:jc w:val="both"/>
        <w:rPr>
          <w:rFonts w:eastAsia="Times New Roman"/>
          <w:sz w:val="24"/>
          <w:szCs w:val="24"/>
          <w:lang w:val="en-US" w:eastAsia="hu-HU"/>
        </w:rPr>
      </w:pPr>
      <w:r w:rsidRPr="00E71880">
        <w:rPr>
          <w:sz w:val="24"/>
          <w:szCs w:val="24"/>
        </w:rPr>
        <w:t xml:space="preserve">Over the last decade, globalization </w:t>
      </w:r>
      <w:r w:rsidRPr="00E71880">
        <w:rPr>
          <w:sz w:val="24"/>
          <w:szCs w:val="24"/>
          <w:lang w:val="en-US"/>
        </w:rPr>
        <w:t>and technological innovation</w:t>
      </w:r>
      <w:r w:rsidR="00A278B5" w:rsidRPr="00E71880">
        <w:rPr>
          <w:sz w:val="24"/>
          <w:szCs w:val="24"/>
          <w:lang w:val="en-US"/>
        </w:rPr>
        <w:t xml:space="preserve"> </w:t>
      </w:r>
      <w:r w:rsidR="009A761C" w:rsidRPr="00E71880">
        <w:rPr>
          <w:sz w:val="24"/>
          <w:szCs w:val="24"/>
          <w:lang w:val="en-US"/>
        </w:rPr>
        <w:t>have had a major effect on the widely interpreted entrepreneurial finance</w:t>
      </w:r>
      <w:r w:rsidR="00DF5832" w:rsidRPr="00E71880">
        <w:rPr>
          <w:sz w:val="24"/>
          <w:szCs w:val="24"/>
          <w:lang w:val="en-US"/>
        </w:rPr>
        <w:t>.</w:t>
      </w:r>
      <w:r w:rsidR="009A761C" w:rsidRPr="00E71880">
        <w:rPr>
          <w:sz w:val="24"/>
          <w:szCs w:val="24"/>
          <w:lang w:val="en-US"/>
        </w:rPr>
        <w:t xml:space="preserve"> </w:t>
      </w:r>
      <w:r w:rsidR="000F350A" w:rsidRPr="00E71880">
        <w:rPr>
          <w:rFonts w:eastAsia="Times New Roman"/>
          <w:sz w:val="24"/>
          <w:szCs w:val="24"/>
          <w:lang w:val="en-US" w:eastAsia="hu-HU"/>
        </w:rPr>
        <w:t>The venture capital market beca</w:t>
      </w:r>
      <w:r w:rsidR="009A761C" w:rsidRPr="00E71880">
        <w:rPr>
          <w:rFonts w:eastAsia="Times New Roman"/>
          <w:sz w:val="24"/>
          <w:szCs w:val="24"/>
          <w:lang w:val="en-US" w:eastAsia="hu-HU"/>
        </w:rPr>
        <w:t xml:space="preserve">me </w:t>
      </w:r>
      <w:r w:rsidR="002643AD" w:rsidRPr="00E71880">
        <w:rPr>
          <w:rFonts w:eastAsia="Times New Roman"/>
          <w:sz w:val="24"/>
          <w:szCs w:val="24"/>
          <w:lang w:val="en-US" w:eastAsia="hu-HU"/>
        </w:rPr>
        <w:t>more globalized</w:t>
      </w:r>
      <w:r w:rsidR="00DF5832" w:rsidRPr="00E71880">
        <w:rPr>
          <w:rFonts w:eastAsia="Times New Roman"/>
          <w:sz w:val="24"/>
          <w:szCs w:val="24"/>
          <w:lang w:val="en-US" w:eastAsia="hu-HU"/>
        </w:rPr>
        <w:t xml:space="preserve"> and the importance of angel investor groups</w:t>
      </w:r>
      <w:r w:rsidR="002A7EE7" w:rsidRPr="00E71880">
        <w:rPr>
          <w:rFonts w:eastAsia="Times New Roman"/>
          <w:sz w:val="24"/>
          <w:szCs w:val="24"/>
          <w:lang w:val="en-US" w:eastAsia="hu-HU"/>
        </w:rPr>
        <w:t xml:space="preserve"> </w:t>
      </w:r>
      <w:r w:rsidR="00BF5D6A" w:rsidRPr="00E71880">
        <w:rPr>
          <w:rFonts w:eastAsia="Times New Roman"/>
          <w:sz w:val="24"/>
          <w:szCs w:val="24"/>
          <w:lang w:val="en-US" w:eastAsia="hu-HU"/>
        </w:rPr>
        <w:t xml:space="preserve">able to provide higher amount of finance </w:t>
      </w:r>
      <w:r w:rsidR="00DF5832" w:rsidRPr="00E71880">
        <w:rPr>
          <w:rFonts w:eastAsia="Times New Roman"/>
          <w:sz w:val="24"/>
          <w:szCs w:val="24"/>
          <w:lang w:val="en-US" w:eastAsia="hu-HU"/>
        </w:rPr>
        <w:t xml:space="preserve">has also grown </w:t>
      </w:r>
      <w:r w:rsidR="00DF5832" w:rsidRPr="00E71880">
        <w:rPr>
          <w:sz w:val="24"/>
          <w:szCs w:val="24"/>
          <w:lang w:val="en-US"/>
        </w:rPr>
        <w:t>(</w:t>
      </w:r>
      <w:proofErr w:type="spellStart"/>
      <w:r w:rsidR="00DF5832" w:rsidRPr="00E71880">
        <w:rPr>
          <w:rFonts w:eastAsia="Times New Roman"/>
          <w:sz w:val="24"/>
          <w:szCs w:val="24"/>
          <w:lang w:val="en-US" w:eastAsia="hu-HU"/>
        </w:rPr>
        <w:t>Chemmanur</w:t>
      </w:r>
      <w:proofErr w:type="spellEnd"/>
      <w:r w:rsidR="00DF5832" w:rsidRPr="00E71880">
        <w:rPr>
          <w:rFonts w:eastAsia="Times New Roman"/>
          <w:sz w:val="24"/>
          <w:szCs w:val="24"/>
          <w:lang w:val="en-US" w:eastAsia="hu-HU"/>
        </w:rPr>
        <w:t xml:space="preserve"> and </w:t>
      </w:r>
      <w:proofErr w:type="spellStart"/>
      <w:r w:rsidR="00DF5832" w:rsidRPr="00E71880">
        <w:rPr>
          <w:rFonts w:eastAsia="Times New Roman"/>
          <w:sz w:val="24"/>
          <w:szCs w:val="24"/>
          <w:lang w:val="en-US" w:eastAsia="hu-HU"/>
        </w:rPr>
        <w:t>Fulghieri</w:t>
      </w:r>
      <w:proofErr w:type="spellEnd"/>
      <w:r w:rsidR="00DF5832" w:rsidRPr="00E71880">
        <w:rPr>
          <w:rFonts w:eastAsia="Times New Roman"/>
          <w:sz w:val="24"/>
          <w:szCs w:val="24"/>
          <w:lang w:val="en-US" w:eastAsia="hu-HU"/>
        </w:rPr>
        <w:t xml:space="preserve"> 2014). </w:t>
      </w:r>
      <w:r w:rsidR="002A7EE7" w:rsidRPr="00E71880">
        <w:rPr>
          <w:rFonts w:eastAsia="Times New Roman"/>
          <w:sz w:val="24"/>
          <w:szCs w:val="24"/>
          <w:lang w:val="en-US" w:eastAsia="hu-HU"/>
        </w:rPr>
        <w:t>Internet</w:t>
      </w:r>
      <w:r w:rsidR="00DF5832" w:rsidRPr="00E71880">
        <w:rPr>
          <w:rFonts w:eastAsia="Times New Roman"/>
          <w:sz w:val="24"/>
          <w:szCs w:val="24"/>
          <w:lang w:val="en-US" w:eastAsia="hu-HU"/>
        </w:rPr>
        <w:t xml:space="preserve"> related technologies have provided additional opportunities to </w:t>
      </w:r>
      <w:r w:rsidR="00060BC1" w:rsidRPr="00E71880">
        <w:rPr>
          <w:rFonts w:eastAsia="Times New Roman"/>
          <w:sz w:val="24"/>
          <w:szCs w:val="24"/>
          <w:lang w:val="en-US" w:eastAsia="hu-HU"/>
        </w:rPr>
        <w:t>venture capitalist and business angels to monitor closely their portfolio firms even from large</w:t>
      </w:r>
      <w:r w:rsidR="00F2601F" w:rsidRPr="00E71880">
        <w:rPr>
          <w:rFonts w:eastAsia="Times New Roman"/>
          <w:sz w:val="24"/>
          <w:szCs w:val="24"/>
          <w:lang w:val="en-US" w:eastAsia="hu-HU"/>
        </w:rPr>
        <w:t>r</w:t>
      </w:r>
      <w:r w:rsidR="00060BC1" w:rsidRPr="00E71880">
        <w:rPr>
          <w:rFonts w:eastAsia="Times New Roman"/>
          <w:sz w:val="24"/>
          <w:szCs w:val="24"/>
          <w:lang w:val="en-US" w:eastAsia="hu-HU"/>
        </w:rPr>
        <w:t xml:space="preserve"> distances. The most important new financial innovation, </w:t>
      </w:r>
      <w:r w:rsidR="00827E5D" w:rsidRPr="00E71880">
        <w:rPr>
          <w:rFonts w:eastAsia="Times New Roman"/>
          <w:sz w:val="24"/>
          <w:szCs w:val="24"/>
          <w:lang w:val="en-US" w:eastAsia="hu-HU"/>
        </w:rPr>
        <w:t>crowdfunding is also imbedded in the internet related technology where startups can raise private equity in small amounts from large number investors via internet platforms</w:t>
      </w:r>
      <w:r w:rsidR="00C970BD" w:rsidRPr="00E71880">
        <w:rPr>
          <w:rFonts w:eastAsia="Times New Roman"/>
          <w:sz w:val="24"/>
          <w:szCs w:val="24"/>
          <w:lang w:val="en-US" w:eastAsia="hu-HU"/>
        </w:rPr>
        <w:t xml:space="preserve"> (</w:t>
      </w:r>
      <w:proofErr w:type="spellStart"/>
      <w:r w:rsidR="00C970BD" w:rsidRPr="00E71880">
        <w:rPr>
          <w:rFonts w:eastAsia="Times New Roman"/>
          <w:sz w:val="24"/>
          <w:szCs w:val="24"/>
          <w:lang w:val="en-US" w:eastAsia="hu-HU"/>
        </w:rPr>
        <w:t>Ordanini</w:t>
      </w:r>
      <w:proofErr w:type="spellEnd"/>
      <w:r w:rsidR="00C970BD" w:rsidRPr="00E71880">
        <w:rPr>
          <w:rFonts w:eastAsia="Times New Roman"/>
          <w:sz w:val="24"/>
          <w:szCs w:val="24"/>
          <w:lang w:val="en-US" w:eastAsia="hu-HU"/>
        </w:rPr>
        <w:t xml:space="preserve"> et al 2011)</w:t>
      </w:r>
      <w:r w:rsidR="00827E5D" w:rsidRPr="00E71880">
        <w:rPr>
          <w:rFonts w:eastAsia="Times New Roman"/>
          <w:sz w:val="24"/>
          <w:szCs w:val="24"/>
          <w:lang w:val="en-US" w:eastAsia="hu-HU"/>
        </w:rPr>
        <w:t xml:space="preserve">. </w:t>
      </w:r>
    </w:p>
    <w:p w14:paraId="3AF4DA99" w14:textId="795FC886" w:rsidR="002A4597" w:rsidRPr="00E71880" w:rsidRDefault="00493DCC" w:rsidP="0060328A">
      <w:pPr>
        <w:autoSpaceDE w:val="0"/>
        <w:autoSpaceDN w:val="0"/>
        <w:adjustRightInd w:val="0"/>
        <w:spacing w:line="276" w:lineRule="auto"/>
        <w:ind w:firstLine="708"/>
        <w:jc w:val="both"/>
        <w:rPr>
          <w:rFonts w:cstheme="minorHAnsi"/>
          <w:sz w:val="24"/>
          <w:szCs w:val="24"/>
          <w:lang w:val="en-US"/>
        </w:rPr>
      </w:pPr>
      <w:r w:rsidRPr="00E71880">
        <w:rPr>
          <w:rFonts w:eastAsia="Times New Roman"/>
          <w:sz w:val="24"/>
          <w:szCs w:val="24"/>
          <w:lang w:val="en-US" w:eastAsia="hu-HU"/>
        </w:rPr>
        <w:t xml:space="preserve">The latest </w:t>
      </w:r>
      <w:proofErr w:type="spellStart"/>
      <w:r w:rsidRPr="00E71880">
        <w:rPr>
          <w:rFonts w:eastAsia="Times New Roman"/>
          <w:sz w:val="24"/>
          <w:szCs w:val="24"/>
          <w:lang w:val="en-US" w:eastAsia="hu-HU"/>
        </w:rPr>
        <w:t>Massolution</w:t>
      </w:r>
      <w:proofErr w:type="spellEnd"/>
      <w:r w:rsidRPr="00E71880">
        <w:rPr>
          <w:rFonts w:eastAsia="Times New Roman"/>
          <w:sz w:val="24"/>
          <w:szCs w:val="24"/>
          <w:lang w:val="en-US" w:eastAsia="hu-HU"/>
        </w:rPr>
        <w:t xml:space="preserve"> report (</w:t>
      </w:r>
      <w:proofErr w:type="spellStart"/>
      <w:r w:rsidRPr="00E71880">
        <w:rPr>
          <w:rFonts w:eastAsia="Times New Roman"/>
          <w:sz w:val="24"/>
          <w:szCs w:val="24"/>
          <w:lang w:val="en-US" w:eastAsia="hu-HU"/>
        </w:rPr>
        <w:t>Massolution</w:t>
      </w:r>
      <w:proofErr w:type="spellEnd"/>
      <w:r w:rsidRPr="00E71880">
        <w:rPr>
          <w:rFonts w:eastAsia="Times New Roman"/>
          <w:sz w:val="24"/>
          <w:szCs w:val="24"/>
          <w:lang w:val="en-US" w:eastAsia="hu-HU"/>
        </w:rPr>
        <w:t xml:space="preserve"> 2015) points out that </w:t>
      </w:r>
      <w:r w:rsidRPr="00E71880">
        <w:rPr>
          <w:color w:val="000000"/>
          <w:sz w:val="24"/>
          <w:szCs w:val="24"/>
          <w:lang w:val="en-US"/>
        </w:rPr>
        <w:t>crowdfunding platforms raised $16.2 billion all around the world in 2014. This amount is believed to be $34.4 billion in 2015.</w:t>
      </w:r>
      <w:r w:rsidR="00FF36E7" w:rsidRPr="00E71880">
        <w:rPr>
          <w:color w:val="000000"/>
          <w:sz w:val="24"/>
          <w:szCs w:val="24"/>
          <w:lang w:val="en-US"/>
        </w:rPr>
        <w:t xml:space="preserve"> The relative size of the venture capital, business angel and crowdfunding is pictured in Figure </w:t>
      </w:r>
      <w:r w:rsidR="00F2601F" w:rsidRPr="00E71880">
        <w:rPr>
          <w:color w:val="000000"/>
          <w:sz w:val="24"/>
          <w:szCs w:val="24"/>
          <w:lang w:val="en-US"/>
        </w:rPr>
        <w:t>1</w:t>
      </w:r>
      <w:r w:rsidR="00FF36E7" w:rsidRPr="00E71880">
        <w:rPr>
          <w:color w:val="000000"/>
          <w:sz w:val="24"/>
          <w:szCs w:val="24"/>
          <w:lang w:val="en-US"/>
        </w:rPr>
        <w:t>.</w:t>
      </w:r>
      <w:r w:rsidR="002A4597" w:rsidRPr="00E71880">
        <w:rPr>
          <w:color w:val="000000"/>
          <w:sz w:val="24"/>
          <w:szCs w:val="24"/>
          <w:lang w:val="en-US"/>
        </w:rPr>
        <w:t xml:space="preserve"> While angel financing was marginally below venture capital in the 2009-2013 time period, venture capital investment grown up to almost $50 billion</w:t>
      </w:r>
      <w:r w:rsidR="00BF5D6A" w:rsidRPr="00E71880">
        <w:rPr>
          <w:color w:val="000000"/>
          <w:sz w:val="24"/>
          <w:szCs w:val="24"/>
          <w:lang w:val="en-US"/>
        </w:rPr>
        <w:t xml:space="preserve"> by 2013</w:t>
      </w:r>
      <w:r w:rsidR="002A4597" w:rsidRPr="00E71880">
        <w:rPr>
          <w:color w:val="000000"/>
          <w:sz w:val="24"/>
          <w:szCs w:val="24"/>
          <w:lang w:val="en-US"/>
        </w:rPr>
        <w:t xml:space="preserve">. </w:t>
      </w:r>
      <w:r w:rsidR="00BF5D6A" w:rsidRPr="00E71880">
        <w:rPr>
          <w:color w:val="000000"/>
          <w:sz w:val="24"/>
          <w:szCs w:val="24"/>
          <w:lang w:val="en-US"/>
        </w:rPr>
        <w:t>Starting f</w:t>
      </w:r>
      <w:r w:rsidR="00695100" w:rsidRPr="00E71880">
        <w:rPr>
          <w:color w:val="000000"/>
          <w:sz w:val="24"/>
          <w:szCs w:val="24"/>
          <w:lang w:val="en-US"/>
        </w:rPr>
        <w:t>rom</w:t>
      </w:r>
      <w:r w:rsidR="002A4597" w:rsidRPr="00E71880">
        <w:rPr>
          <w:color w:val="000000"/>
          <w:sz w:val="24"/>
          <w:szCs w:val="24"/>
          <w:lang w:val="en-US"/>
        </w:rPr>
        <w:t xml:space="preserve"> a very low </w:t>
      </w:r>
      <w:r w:rsidR="00695100" w:rsidRPr="00E71880">
        <w:rPr>
          <w:color w:val="000000"/>
          <w:sz w:val="24"/>
          <w:szCs w:val="24"/>
          <w:lang w:val="en-US"/>
        </w:rPr>
        <w:t xml:space="preserve">level </w:t>
      </w:r>
      <w:r w:rsidR="002A4597" w:rsidRPr="00E71880">
        <w:rPr>
          <w:color w:val="000000"/>
          <w:sz w:val="24"/>
          <w:szCs w:val="24"/>
          <w:lang w:val="en-US"/>
        </w:rPr>
        <w:t xml:space="preserve">in 2009, crowdfunding exceeded the amount of angel financing in 2015 and expected to overcome venture capital investment in 2016-2017.  According to the World Bank estimates crowdfunding hits $93 billion </w:t>
      </w:r>
      <w:r w:rsidR="003D09DD" w:rsidRPr="00E71880">
        <w:rPr>
          <w:color w:val="000000"/>
          <w:sz w:val="24"/>
          <w:szCs w:val="24"/>
          <w:lang w:val="en-US"/>
        </w:rPr>
        <w:t xml:space="preserve">by 2025, </w:t>
      </w:r>
      <w:r w:rsidR="002A4597" w:rsidRPr="00E71880">
        <w:rPr>
          <w:color w:val="000000"/>
          <w:sz w:val="24"/>
          <w:szCs w:val="24"/>
          <w:lang w:val="en-US"/>
        </w:rPr>
        <w:t xml:space="preserve">being almost two times larger than all the other venture capital </w:t>
      </w:r>
      <w:r w:rsidR="00BF5D6A" w:rsidRPr="00E71880">
        <w:rPr>
          <w:color w:val="000000"/>
          <w:sz w:val="24"/>
          <w:szCs w:val="24"/>
          <w:lang w:val="en-US"/>
        </w:rPr>
        <w:t xml:space="preserve">related </w:t>
      </w:r>
      <w:r w:rsidR="002A4597" w:rsidRPr="00E71880">
        <w:rPr>
          <w:color w:val="000000"/>
          <w:sz w:val="24"/>
          <w:szCs w:val="24"/>
          <w:lang w:val="en-US"/>
        </w:rPr>
        <w:t>markets together (</w:t>
      </w:r>
      <w:r w:rsidR="002A4597" w:rsidRPr="00E71880">
        <w:rPr>
          <w:rFonts w:eastAsia="Times New Roman" w:cs="Arial"/>
          <w:sz w:val="24"/>
          <w:szCs w:val="24"/>
          <w:lang w:val="hu-HU" w:eastAsia="hu-HU"/>
        </w:rPr>
        <w:t xml:space="preserve">World Bank 2013). </w:t>
      </w:r>
    </w:p>
    <w:p w14:paraId="673A8402" w14:textId="3E172E3D" w:rsidR="00FF36E7" w:rsidRDefault="00FF36E7" w:rsidP="0060328A">
      <w:pPr>
        <w:autoSpaceDE w:val="0"/>
        <w:autoSpaceDN w:val="0"/>
        <w:adjustRightInd w:val="0"/>
        <w:spacing w:line="276" w:lineRule="auto"/>
        <w:jc w:val="both"/>
        <w:rPr>
          <w:rFonts w:ascii="Times New Roman" w:hAnsi="Times New Roman"/>
          <w:color w:val="000000"/>
          <w:sz w:val="22"/>
          <w:szCs w:val="22"/>
          <w:lang w:val="en-US"/>
        </w:rPr>
      </w:pPr>
      <w:r w:rsidRPr="00743606">
        <w:rPr>
          <w:noProof/>
          <w:lang w:val="nl-NL"/>
        </w:rPr>
        <w:drawing>
          <wp:inline distT="0" distB="0" distL="0" distR="0" wp14:anchorId="1A55A012" wp14:editId="61EA9812">
            <wp:extent cx="4972050" cy="2479062"/>
            <wp:effectExtent l="0" t="0" r="0" b="0"/>
            <wp:docPr id="11" name="Kép 11" descr="Crowdfunding_VC_AngelInve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dfunding_VC_AngelInvest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3592" cy="2484817"/>
                    </a:xfrm>
                    <a:prstGeom prst="rect">
                      <a:avLst/>
                    </a:prstGeom>
                    <a:noFill/>
                    <a:ln>
                      <a:noFill/>
                    </a:ln>
                  </pic:spPr>
                </pic:pic>
              </a:graphicData>
            </a:graphic>
          </wp:inline>
        </w:drawing>
      </w:r>
    </w:p>
    <w:p w14:paraId="7B16F870" w14:textId="03867482" w:rsidR="00FF36E7" w:rsidRPr="00BF3B75" w:rsidRDefault="00FF36E7" w:rsidP="0060328A">
      <w:pPr>
        <w:pStyle w:val="Caption"/>
        <w:spacing w:line="276" w:lineRule="auto"/>
        <w:jc w:val="both"/>
        <w:rPr>
          <w:b w:val="0"/>
          <w:noProof/>
          <w:color w:val="000000" w:themeColor="text1"/>
          <w:sz w:val="24"/>
          <w:szCs w:val="24"/>
        </w:rPr>
      </w:pPr>
      <w:bookmarkStart w:id="27" w:name="_Toc434831694"/>
      <w:r w:rsidRPr="00BF3B75">
        <w:rPr>
          <w:b w:val="0"/>
          <w:noProof/>
          <w:color w:val="000000" w:themeColor="text1"/>
          <w:sz w:val="24"/>
          <w:szCs w:val="24"/>
        </w:rPr>
        <w:t>Source: Barnett, C. (2015):</w:t>
      </w:r>
    </w:p>
    <w:p w14:paraId="4AE73BAF" w14:textId="356014E7" w:rsidR="00FF36E7" w:rsidRPr="00BF3B75" w:rsidRDefault="00FF36E7" w:rsidP="0060328A">
      <w:pPr>
        <w:pStyle w:val="Caption"/>
        <w:spacing w:line="276" w:lineRule="auto"/>
        <w:jc w:val="both"/>
        <w:rPr>
          <w:noProof/>
          <w:color w:val="000000" w:themeColor="text1"/>
          <w:sz w:val="24"/>
          <w:szCs w:val="24"/>
        </w:rPr>
      </w:pPr>
      <w:r w:rsidRPr="00BF3B75">
        <w:rPr>
          <w:noProof/>
          <w:color w:val="000000" w:themeColor="text1"/>
          <w:sz w:val="24"/>
          <w:szCs w:val="24"/>
        </w:rPr>
        <w:t xml:space="preserve">Figure </w:t>
      </w:r>
      <w:r w:rsidR="00F2601F">
        <w:rPr>
          <w:noProof/>
          <w:color w:val="000000" w:themeColor="text1"/>
          <w:sz w:val="24"/>
          <w:szCs w:val="24"/>
        </w:rPr>
        <w:t>1</w:t>
      </w:r>
      <w:r w:rsidRPr="00BF3B75">
        <w:rPr>
          <w:noProof/>
          <w:color w:val="000000" w:themeColor="text1"/>
          <w:sz w:val="24"/>
          <w:szCs w:val="24"/>
        </w:rPr>
        <w:t xml:space="preserve">: </w:t>
      </w:r>
      <w:r w:rsidR="002A4597" w:rsidRPr="00BF3B75">
        <w:rPr>
          <w:noProof/>
          <w:color w:val="000000" w:themeColor="text1"/>
          <w:sz w:val="24"/>
          <w:szCs w:val="24"/>
        </w:rPr>
        <w:t>The size of v</w:t>
      </w:r>
      <w:r w:rsidRPr="00BF3B75">
        <w:rPr>
          <w:noProof/>
          <w:color w:val="000000" w:themeColor="text1"/>
          <w:sz w:val="24"/>
          <w:szCs w:val="24"/>
        </w:rPr>
        <w:t>entur</w:t>
      </w:r>
      <w:r w:rsidR="00CD3804" w:rsidRPr="00BF3B75">
        <w:rPr>
          <w:noProof/>
          <w:color w:val="000000" w:themeColor="text1"/>
          <w:sz w:val="24"/>
          <w:szCs w:val="24"/>
        </w:rPr>
        <w:t>e capital, business angels and c</w:t>
      </w:r>
      <w:r w:rsidRPr="00BF3B75">
        <w:rPr>
          <w:noProof/>
          <w:color w:val="000000" w:themeColor="text1"/>
          <w:sz w:val="24"/>
          <w:szCs w:val="24"/>
        </w:rPr>
        <w:t>rowdfunding in the world 2009-2015</w:t>
      </w:r>
      <w:bookmarkEnd w:id="27"/>
    </w:p>
    <w:p w14:paraId="43BFE7D2" w14:textId="36533B28" w:rsidR="00246801" w:rsidRPr="00E71880" w:rsidRDefault="00246801" w:rsidP="00E71880">
      <w:pPr>
        <w:autoSpaceDE w:val="0"/>
        <w:autoSpaceDN w:val="0"/>
        <w:adjustRightInd w:val="0"/>
        <w:spacing w:line="276" w:lineRule="auto"/>
        <w:jc w:val="both"/>
        <w:rPr>
          <w:color w:val="000000"/>
          <w:sz w:val="24"/>
          <w:szCs w:val="24"/>
          <w:lang w:val="en-US"/>
        </w:rPr>
      </w:pPr>
      <w:r w:rsidRPr="00E71880">
        <w:rPr>
          <w:color w:val="000000"/>
          <w:sz w:val="24"/>
          <w:szCs w:val="24"/>
          <w:lang w:val="en-US"/>
        </w:rPr>
        <w:lastRenderedPageBreak/>
        <w:t xml:space="preserve">Based on the above short analysis about the financial trends, markets and institutions we can </w:t>
      </w:r>
      <w:r w:rsidR="00A62618" w:rsidRPr="00E71880">
        <w:rPr>
          <w:color w:val="000000"/>
          <w:sz w:val="24"/>
          <w:szCs w:val="24"/>
          <w:lang w:val="en-US"/>
        </w:rPr>
        <w:t>draw some important lessons in terms of selecting finance institutional variables for our index:</w:t>
      </w:r>
    </w:p>
    <w:p w14:paraId="46517E4A" w14:textId="28B1146A" w:rsidR="00A62618" w:rsidRPr="00E71880" w:rsidRDefault="00A62618" w:rsidP="00E71880">
      <w:pPr>
        <w:pStyle w:val="ListParagraph"/>
        <w:numPr>
          <w:ilvl w:val="0"/>
          <w:numId w:val="14"/>
        </w:numPr>
        <w:autoSpaceDE w:val="0"/>
        <w:autoSpaceDN w:val="0"/>
        <w:adjustRightInd w:val="0"/>
        <w:spacing w:line="276" w:lineRule="auto"/>
        <w:jc w:val="both"/>
        <w:rPr>
          <w:color w:val="000000"/>
          <w:sz w:val="24"/>
          <w:szCs w:val="24"/>
          <w:lang w:val="en-US"/>
        </w:rPr>
      </w:pPr>
      <w:r w:rsidRPr="00E71880">
        <w:rPr>
          <w:color w:val="000000"/>
          <w:sz w:val="24"/>
          <w:szCs w:val="24"/>
          <w:lang w:val="en-US"/>
        </w:rPr>
        <w:t xml:space="preserve">Financial markets are complex, so we should select a composite variable that reflect the </w:t>
      </w:r>
      <w:r w:rsidR="005F2B28" w:rsidRPr="00E71880">
        <w:rPr>
          <w:color w:val="000000"/>
          <w:sz w:val="24"/>
          <w:szCs w:val="24"/>
          <w:lang w:val="en-US"/>
        </w:rPr>
        <w:t>ric</w:t>
      </w:r>
      <w:r w:rsidRPr="00E71880">
        <w:rPr>
          <w:color w:val="000000"/>
          <w:sz w:val="24"/>
          <w:szCs w:val="24"/>
          <w:lang w:val="en-US"/>
        </w:rPr>
        <w:t>hness of financing</w:t>
      </w:r>
      <w:r w:rsidR="00BF5D6A" w:rsidRPr="00E71880">
        <w:rPr>
          <w:color w:val="000000"/>
          <w:sz w:val="24"/>
          <w:szCs w:val="24"/>
          <w:lang w:val="en-US"/>
        </w:rPr>
        <w:t>.</w:t>
      </w:r>
      <w:r w:rsidR="00F9780F" w:rsidRPr="00E71880">
        <w:rPr>
          <w:color w:val="000000"/>
          <w:sz w:val="24"/>
          <w:szCs w:val="24"/>
          <w:lang w:val="en-US"/>
        </w:rPr>
        <w:t xml:space="preserve"> There is the debt equity mix, the size of the financial market and the institutional vs private investors in Europe.</w:t>
      </w:r>
    </w:p>
    <w:p w14:paraId="33301E54" w14:textId="45021566" w:rsidR="00A62618" w:rsidRPr="00E71880" w:rsidRDefault="00A62618" w:rsidP="00E71880">
      <w:pPr>
        <w:pStyle w:val="ListParagraph"/>
        <w:numPr>
          <w:ilvl w:val="0"/>
          <w:numId w:val="14"/>
        </w:numPr>
        <w:autoSpaceDE w:val="0"/>
        <w:autoSpaceDN w:val="0"/>
        <w:adjustRightInd w:val="0"/>
        <w:spacing w:line="276" w:lineRule="auto"/>
        <w:jc w:val="both"/>
        <w:rPr>
          <w:color w:val="000000"/>
          <w:sz w:val="24"/>
          <w:szCs w:val="24"/>
          <w:lang w:val="en-US"/>
        </w:rPr>
      </w:pPr>
      <w:r w:rsidRPr="00E71880">
        <w:rPr>
          <w:color w:val="000000"/>
          <w:sz w:val="24"/>
          <w:szCs w:val="24"/>
          <w:lang w:val="en-US"/>
        </w:rPr>
        <w:t>Bank related debt is an important source of finance even for high growth innovative businesses; therefore our variables should contain a component that reflects to lending.</w:t>
      </w:r>
    </w:p>
    <w:p w14:paraId="76EF97C8" w14:textId="36C3A5DF" w:rsidR="00A62618" w:rsidRPr="00E71880" w:rsidRDefault="005F2B28" w:rsidP="00E71880">
      <w:pPr>
        <w:pStyle w:val="ListParagraph"/>
        <w:numPr>
          <w:ilvl w:val="0"/>
          <w:numId w:val="14"/>
        </w:numPr>
        <w:autoSpaceDE w:val="0"/>
        <w:autoSpaceDN w:val="0"/>
        <w:adjustRightInd w:val="0"/>
        <w:spacing w:line="276" w:lineRule="auto"/>
        <w:jc w:val="both"/>
        <w:rPr>
          <w:color w:val="000000"/>
          <w:sz w:val="24"/>
          <w:szCs w:val="24"/>
          <w:lang w:val="en-US"/>
        </w:rPr>
      </w:pPr>
      <w:r w:rsidRPr="00E71880">
        <w:rPr>
          <w:color w:val="000000"/>
          <w:sz w:val="24"/>
          <w:szCs w:val="24"/>
          <w:lang w:val="en-US"/>
        </w:rPr>
        <w:t>Both venture capital and business angel investment should be included in the finance variable.</w:t>
      </w:r>
      <w:r w:rsidR="00F9780F" w:rsidRPr="00E71880">
        <w:rPr>
          <w:color w:val="000000"/>
          <w:sz w:val="24"/>
          <w:szCs w:val="24"/>
          <w:lang w:val="en-US"/>
        </w:rPr>
        <w:t xml:space="preserve"> Mergers and acquisitions and PE should be disregarded.</w:t>
      </w:r>
    </w:p>
    <w:p w14:paraId="09038AA0" w14:textId="4556C2AD" w:rsidR="005F2B28" w:rsidRPr="00E71880" w:rsidRDefault="005F2B28" w:rsidP="00E71880">
      <w:pPr>
        <w:pStyle w:val="ListParagraph"/>
        <w:numPr>
          <w:ilvl w:val="0"/>
          <w:numId w:val="14"/>
        </w:numPr>
        <w:autoSpaceDE w:val="0"/>
        <w:autoSpaceDN w:val="0"/>
        <w:adjustRightInd w:val="0"/>
        <w:spacing w:line="276" w:lineRule="auto"/>
        <w:jc w:val="both"/>
        <w:rPr>
          <w:color w:val="000000"/>
          <w:sz w:val="24"/>
          <w:szCs w:val="24"/>
          <w:lang w:val="en-US"/>
        </w:rPr>
      </w:pPr>
      <w:r w:rsidRPr="00E71880">
        <w:rPr>
          <w:color w:val="000000"/>
          <w:sz w:val="24"/>
          <w:szCs w:val="24"/>
          <w:lang w:val="en-US"/>
        </w:rPr>
        <w:t xml:space="preserve">We should add </w:t>
      </w:r>
      <w:r w:rsidR="000D3F8D" w:rsidRPr="00E71880">
        <w:rPr>
          <w:color w:val="000000"/>
          <w:sz w:val="24"/>
          <w:szCs w:val="24"/>
          <w:lang w:val="en-US"/>
        </w:rPr>
        <w:t>component</w:t>
      </w:r>
      <w:r w:rsidR="00695100" w:rsidRPr="00E71880">
        <w:rPr>
          <w:color w:val="000000"/>
          <w:sz w:val="24"/>
          <w:szCs w:val="24"/>
          <w:lang w:val="en-US"/>
        </w:rPr>
        <w:t>s</w:t>
      </w:r>
      <w:r w:rsidR="000D3F8D" w:rsidRPr="00E71880">
        <w:rPr>
          <w:color w:val="000000"/>
          <w:sz w:val="24"/>
          <w:szCs w:val="24"/>
          <w:lang w:val="en-US"/>
        </w:rPr>
        <w:t xml:space="preserve"> that reflect the </w:t>
      </w:r>
      <w:r w:rsidR="00695100" w:rsidRPr="00E71880">
        <w:rPr>
          <w:color w:val="000000"/>
          <w:sz w:val="24"/>
          <w:szCs w:val="24"/>
          <w:lang w:val="en-US"/>
        </w:rPr>
        <w:t xml:space="preserve">access to </w:t>
      </w:r>
      <w:r w:rsidR="000D3F8D" w:rsidRPr="00E71880">
        <w:rPr>
          <w:color w:val="000000"/>
          <w:sz w:val="24"/>
          <w:szCs w:val="24"/>
          <w:lang w:val="en-US"/>
        </w:rPr>
        <w:t xml:space="preserve">and size of crowdfunding in a country. </w:t>
      </w:r>
    </w:p>
    <w:p w14:paraId="091C273C" w14:textId="09EFEC03" w:rsidR="00BF5D6A" w:rsidRPr="00E71880" w:rsidRDefault="00BF5D6A" w:rsidP="00E71880">
      <w:pPr>
        <w:pStyle w:val="ListParagraph"/>
        <w:numPr>
          <w:ilvl w:val="0"/>
          <w:numId w:val="14"/>
        </w:numPr>
        <w:autoSpaceDE w:val="0"/>
        <w:autoSpaceDN w:val="0"/>
        <w:adjustRightInd w:val="0"/>
        <w:spacing w:line="276" w:lineRule="auto"/>
        <w:jc w:val="both"/>
        <w:rPr>
          <w:color w:val="000000"/>
          <w:sz w:val="24"/>
          <w:szCs w:val="24"/>
          <w:lang w:val="en-US"/>
        </w:rPr>
      </w:pPr>
      <w:r w:rsidRPr="00E71880">
        <w:rPr>
          <w:color w:val="000000"/>
          <w:sz w:val="24"/>
          <w:szCs w:val="24"/>
          <w:lang w:val="en-US"/>
        </w:rPr>
        <w:t>Internet technologies should be closely monitored to be able to identify further changes in the financial markets.</w:t>
      </w:r>
    </w:p>
    <w:p w14:paraId="0FF98DA6" w14:textId="77777777" w:rsidR="002A4597" w:rsidRPr="00E71880" w:rsidRDefault="002A4597" w:rsidP="00E71880">
      <w:pPr>
        <w:autoSpaceDE w:val="0"/>
        <w:autoSpaceDN w:val="0"/>
        <w:adjustRightInd w:val="0"/>
        <w:spacing w:line="276" w:lineRule="auto"/>
        <w:jc w:val="both"/>
        <w:rPr>
          <w:color w:val="000000"/>
          <w:sz w:val="22"/>
          <w:szCs w:val="22"/>
          <w:lang w:val="en-US"/>
        </w:rPr>
      </w:pPr>
    </w:p>
    <w:p w14:paraId="117AD299" w14:textId="206FD46B" w:rsidR="00151380" w:rsidRPr="00E71880" w:rsidRDefault="00CB3FDC" w:rsidP="00E71880">
      <w:pPr>
        <w:autoSpaceDE w:val="0"/>
        <w:autoSpaceDN w:val="0"/>
        <w:adjustRightInd w:val="0"/>
        <w:spacing w:line="276" w:lineRule="auto"/>
        <w:jc w:val="both"/>
        <w:rPr>
          <w:color w:val="000000"/>
          <w:sz w:val="24"/>
          <w:szCs w:val="24"/>
          <w:lang w:val="en-US"/>
        </w:rPr>
      </w:pPr>
      <w:r w:rsidRPr="00E71880">
        <w:rPr>
          <w:color w:val="000000"/>
          <w:sz w:val="24"/>
          <w:szCs w:val="24"/>
          <w:lang w:val="en-US"/>
        </w:rPr>
        <w:t>We will</w:t>
      </w:r>
      <w:r w:rsidR="00F9780F" w:rsidRPr="00E71880">
        <w:rPr>
          <w:color w:val="000000"/>
          <w:sz w:val="24"/>
          <w:szCs w:val="24"/>
          <w:lang w:val="en-US"/>
        </w:rPr>
        <w:t xml:space="preserve"> include finance in more than one pillar</w:t>
      </w:r>
      <w:r w:rsidR="00151380" w:rsidRPr="00E71880">
        <w:rPr>
          <w:color w:val="000000"/>
          <w:sz w:val="24"/>
          <w:szCs w:val="24"/>
          <w:lang w:val="en-US"/>
        </w:rPr>
        <w:t xml:space="preserve"> as indicated above: </w:t>
      </w:r>
    </w:p>
    <w:p w14:paraId="00E01184" w14:textId="6A9CC3EC" w:rsidR="00A87255" w:rsidRPr="00E71880" w:rsidRDefault="00CB3FDC" w:rsidP="00E71880">
      <w:pPr>
        <w:pStyle w:val="ListParagraph"/>
        <w:numPr>
          <w:ilvl w:val="0"/>
          <w:numId w:val="18"/>
        </w:numPr>
        <w:autoSpaceDE w:val="0"/>
        <w:autoSpaceDN w:val="0"/>
        <w:adjustRightInd w:val="0"/>
        <w:spacing w:line="276" w:lineRule="auto"/>
        <w:jc w:val="both"/>
        <w:rPr>
          <w:color w:val="000000"/>
          <w:sz w:val="24"/>
          <w:szCs w:val="24"/>
          <w:lang w:val="en-US"/>
        </w:rPr>
      </w:pPr>
      <w:r w:rsidRPr="00E71880">
        <w:rPr>
          <w:color w:val="000000"/>
          <w:sz w:val="24"/>
          <w:szCs w:val="24"/>
          <w:lang w:val="en-US"/>
        </w:rPr>
        <w:t xml:space="preserve">In </w:t>
      </w:r>
      <w:r w:rsidR="00A87255" w:rsidRPr="00E71880">
        <w:rPr>
          <w:color w:val="000000"/>
          <w:sz w:val="24"/>
          <w:szCs w:val="24"/>
          <w:lang w:val="en-US"/>
        </w:rPr>
        <w:t xml:space="preserve">Pillar 12 high growth </w:t>
      </w:r>
      <w:r w:rsidRPr="00E71880">
        <w:rPr>
          <w:color w:val="000000"/>
          <w:sz w:val="24"/>
          <w:szCs w:val="24"/>
          <w:lang w:val="en-US"/>
        </w:rPr>
        <w:t xml:space="preserve">we will replace business strategy with an </w:t>
      </w:r>
      <w:r w:rsidR="00A87255" w:rsidRPr="00E71880">
        <w:rPr>
          <w:color w:val="000000"/>
          <w:sz w:val="24"/>
          <w:szCs w:val="24"/>
          <w:lang w:val="en-US"/>
        </w:rPr>
        <w:t>equity finance</w:t>
      </w:r>
      <w:r w:rsidRPr="00E71880">
        <w:rPr>
          <w:color w:val="000000"/>
          <w:sz w:val="24"/>
          <w:szCs w:val="24"/>
          <w:lang w:val="en-US"/>
        </w:rPr>
        <w:t xml:space="preserve"> variable perhaps </w:t>
      </w:r>
      <w:r w:rsidR="00A87255" w:rsidRPr="00E71880">
        <w:rPr>
          <w:color w:val="000000"/>
          <w:sz w:val="24"/>
          <w:szCs w:val="24"/>
          <w:lang w:val="en-US"/>
        </w:rPr>
        <w:t>a mix of VC, Angel and Crowd</w:t>
      </w:r>
      <w:r w:rsidRPr="00E71880">
        <w:rPr>
          <w:color w:val="000000"/>
          <w:sz w:val="24"/>
          <w:szCs w:val="24"/>
          <w:lang w:val="en-US"/>
        </w:rPr>
        <w:t>funding</w:t>
      </w:r>
      <w:r w:rsidR="00A87255" w:rsidRPr="00E71880">
        <w:rPr>
          <w:color w:val="000000"/>
          <w:sz w:val="24"/>
          <w:szCs w:val="24"/>
          <w:lang w:val="en-US"/>
        </w:rPr>
        <w:t>.</w:t>
      </w:r>
    </w:p>
    <w:p w14:paraId="5547D4D5" w14:textId="60268D68" w:rsidR="004F088A" w:rsidRPr="00E71880" w:rsidRDefault="004F088A" w:rsidP="00E71880">
      <w:pPr>
        <w:pStyle w:val="ListParagraph"/>
        <w:numPr>
          <w:ilvl w:val="0"/>
          <w:numId w:val="18"/>
        </w:numPr>
        <w:autoSpaceDE w:val="0"/>
        <w:autoSpaceDN w:val="0"/>
        <w:adjustRightInd w:val="0"/>
        <w:spacing w:line="276" w:lineRule="auto"/>
        <w:jc w:val="both"/>
        <w:rPr>
          <w:color w:val="000000"/>
          <w:sz w:val="24"/>
          <w:szCs w:val="24"/>
          <w:lang w:val="en-US"/>
        </w:rPr>
      </w:pPr>
      <w:r w:rsidRPr="00E71880">
        <w:rPr>
          <w:color w:val="000000"/>
          <w:sz w:val="24"/>
          <w:szCs w:val="24"/>
          <w:lang w:val="en-US"/>
        </w:rPr>
        <w:t xml:space="preserve">In Pillar 14 Equity Finance we will try and untangle the depth of capital markets variable to better reflect entrepreneurial finance. </w:t>
      </w:r>
    </w:p>
    <w:p w14:paraId="67BE18E3" w14:textId="77777777" w:rsidR="00BF3B75" w:rsidRPr="00E71880" w:rsidRDefault="00BF3B75" w:rsidP="0060328A">
      <w:pPr>
        <w:autoSpaceDE w:val="0"/>
        <w:autoSpaceDN w:val="0"/>
        <w:adjustRightInd w:val="0"/>
        <w:spacing w:line="276" w:lineRule="auto"/>
        <w:jc w:val="both"/>
        <w:rPr>
          <w:color w:val="000000"/>
          <w:sz w:val="22"/>
          <w:szCs w:val="22"/>
          <w:lang w:val="en-US"/>
        </w:rPr>
      </w:pPr>
    </w:p>
    <w:p w14:paraId="3412806C" w14:textId="5EE0189D" w:rsidR="00151380" w:rsidRPr="00E71880" w:rsidRDefault="00151380" w:rsidP="0060328A">
      <w:pPr>
        <w:pStyle w:val="NoSpacing"/>
        <w:spacing w:line="276" w:lineRule="auto"/>
        <w:jc w:val="both"/>
        <w:rPr>
          <w:b/>
          <w:sz w:val="24"/>
          <w:szCs w:val="24"/>
          <w:lang w:val="en-GB"/>
        </w:rPr>
      </w:pPr>
      <w:r w:rsidRPr="00E71880">
        <w:rPr>
          <w:b/>
          <w:sz w:val="24"/>
          <w:szCs w:val="24"/>
          <w:u w:val="single"/>
          <w:lang w:val="en-GB"/>
        </w:rPr>
        <w:t>Potential, but not yet tested indicators</w:t>
      </w:r>
      <w:r w:rsidRPr="00E71880">
        <w:rPr>
          <w:b/>
          <w:sz w:val="24"/>
          <w:szCs w:val="24"/>
          <w:lang w:val="en-GB"/>
        </w:rPr>
        <w:t>:</w:t>
      </w:r>
    </w:p>
    <w:p w14:paraId="4F90C8B8" w14:textId="77777777" w:rsidR="00151380" w:rsidRPr="00E71880" w:rsidRDefault="00151380" w:rsidP="0060328A">
      <w:pPr>
        <w:pStyle w:val="NoSpacing"/>
        <w:spacing w:line="276" w:lineRule="auto"/>
        <w:jc w:val="both"/>
        <w:rPr>
          <w:i/>
          <w:sz w:val="24"/>
          <w:szCs w:val="24"/>
          <w:lang w:val="en-GB"/>
        </w:rPr>
      </w:pPr>
      <w:r w:rsidRPr="00E71880">
        <w:rPr>
          <w:i/>
          <w:sz w:val="24"/>
          <w:szCs w:val="24"/>
          <w:lang w:val="en-GB"/>
        </w:rPr>
        <w:t>For Taxation and Finance</w:t>
      </w:r>
    </w:p>
    <w:p w14:paraId="0EE55BB9" w14:textId="77777777" w:rsidR="00151380" w:rsidRPr="00E71880" w:rsidRDefault="00151380" w:rsidP="0060328A">
      <w:pPr>
        <w:pStyle w:val="NoSpacing"/>
        <w:numPr>
          <w:ilvl w:val="0"/>
          <w:numId w:val="17"/>
        </w:numPr>
        <w:spacing w:line="276" w:lineRule="auto"/>
        <w:ind w:left="360"/>
        <w:jc w:val="both"/>
        <w:rPr>
          <w:sz w:val="24"/>
          <w:szCs w:val="24"/>
          <w:lang w:val="en-GB"/>
        </w:rPr>
      </w:pPr>
      <w:r w:rsidRPr="00E71880">
        <w:rPr>
          <w:sz w:val="24"/>
          <w:szCs w:val="24"/>
          <w:lang w:val="en-GB"/>
        </w:rPr>
        <w:t>Paying taxes distance to frontier – composite indicator about taxation provided by Doing Business project (Authors: World Bank Group and PWC); data are available from 2006 to 2016</w:t>
      </w:r>
    </w:p>
    <w:p w14:paraId="62CBB523" w14:textId="77777777" w:rsidR="00151380" w:rsidRPr="00E71880" w:rsidRDefault="00151380" w:rsidP="0060328A">
      <w:pPr>
        <w:pStyle w:val="NoSpacing"/>
        <w:numPr>
          <w:ilvl w:val="0"/>
          <w:numId w:val="16"/>
        </w:numPr>
        <w:spacing w:line="276" w:lineRule="auto"/>
        <w:ind w:left="360"/>
        <w:jc w:val="both"/>
        <w:rPr>
          <w:sz w:val="24"/>
          <w:szCs w:val="24"/>
          <w:lang w:val="en-GB"/>
        </w:rPr>
      </w:pPr>
      <w:r w:rsidRPr="00E71880">
        <w:rPr>
          <w:sz w:val="24"/>
          <w:szCs w:val="24"/>
          <w:lang w:val="en-GB"/>
        </w:rPr>
        <w:t xml:space="preserve">Economic Complexity Index – indicator introduced by Hidalgo and </w:t>
      </w:r>
      <w:proofErr w:type="spellStart"/>
      <w:r w:rsidRPr="00E71880">
        <w:rPr>
          <w:sz w:val="24"/>
          <w:szCs w:val="24"/>
          <w:lang w:val="en-GB"/>
        </w:rPr>
        <w:t>Hausmann</w:t>
      </w:r>
      <w:proofErr w:type="spellEnd"/>
      <w:r w:rsidRPr="00E71880">
        <w:rPr>
          <w:sz w:val="24"/>
          <w:szCs w:val="24"/>
          <w:lang w:val="en-GB"/>
        </w:rPr>
        <w:t xml:space="preserve"> (2009), indicates the interactions and network of a country’s economy (Author: MIT Media Lab Macro Connections group); data are av. from 1964 to 2013</w:t>
      </w:r>
    </w:p>
    <w:p w14:paraId="22B89425" w14:textId="77777777" w:rsidR="00151380" w:rsidRPr="00E71880" w:rsidRDefault="00151380" w:rsidP="0060328A">
      <w:pPr>
        <w:pStyle w:val="NoSpacing"/>
        <w:numPr>
          <w:ilvl w:val="0"/>
          <w:numId w:val="16"/>
        </w:numPr>
        <w:spacing w:line="276" w:lineRule="auto"/>
        <w:ind w:left="360"/>
        <w:jc w:val="both"/>
        <w:rPr>
          <w:sz w:val="24"/>
          <w:szCs w:val="24"/>
          <w:lang w:val="en-GB"/>
        </w:rPr>
      </w:pPr>
      <w:r w:rsidRPr="00E71880">
        <w:rPr>
          <w:sz w:val="24"/>
          <w:szCs w:val="24"/>
          <w:lang w:val="en-GB"/>
        </w:rPr>
        <w:t xml:space="preserve">Financial literacy of adult population or financial literacy of 15-34 year old population – Standard &amp; Poor’s Global </w:t>
      </w:r>
      <w:proofErr w:type="spellStart"/>
      <w:r w:rsidRPr="00E71880">
        <w:rPr>
          <w:sz w:val="24"/>
          <w:szCs w:val="24"/>
          <w:lang w:val="en-GB"/>
        </w:rPr>
        <w:t>Finlit</w:t>
      </w:r>
      <w:proofErr w:type="spellEnd"/>
      <w:r w:rsidRPr="00E71880">
        <w:rPr>
          <w:sz w:val="24"/>
          <w:szCs w:val="24"/>
          <w:lang w:val="en-GB"/>
        </w:rPr>
        <w:t xml:space="preserve"> research, supported by World Bank, conducted by </w:t>
      </w:r>
      <w:proofErr w:type="spellStart"/>
      <w:r w:rsidRPr="00E71880">
        <w:rPr>
          <w:sz w:val="24"/>
          <w:szCs w:val="24"/>
          <w:lang w:val="en-GB"/>
        </w:rPr>
        <w:t>Klapper</w:t>
      </w:r>
      <w:proofErr w:type="spellEnd"/>
      <w:r w:rsidRPr="00E71880">
        <w:rPr>
          <w:sz w:val="24"/>
          <w:szCs w:val="24"/>
          <w:lang w:val="en-GB"/>
        </w:rPr>
        <w:t xml:space="preserve">, Lusardi and van </w:t>
      </w:r>
      <w:proofErr w:type="spellStart"/>
      <w:r w:rsidRPr="00E71880">
        <w:rPr>
          <w:sz w:val="24"/>
          <w:szCs w:val="24"/>
          <w:lang w:val="en-GB"/>
        </w:rPr>
        <w:t>Oudheusden</w:t>
      </w:r>
      <w:proofErr w:type="spellEnd"/>
      <w:r w:rsidRPr="00E71880">
        <w:rPr>
          <w:sz w:val="24"/>
          <w:szCs w:val="24"/>
          <w:lang w:val="en-GB"/>
        </w:rPr>
        <w:t xml:space="preserve"> (2015); data were collected only for 2014</w:t>
      </w:r>
    </w:p>
    <w:p w14:paraId="1DEC383D" w14:textId="77777777" w:rsidR="00151380" w:rsidRPr="00E71880" w:rsidRDefault="00151380" w:rsidP="0060328A">
      <w:pPr>
        <w:pStyle w:val="NoSpacing"/>
        <w:numPr>
          <w:ilvl w:val="0"/>
          <w:numId w:val="16"/>
        </w:numPr>
        <w:spacing w:line="276" w:lineRule="auto"/>
        <w:ind w:left="360"/>
        <w:jc w:val="both"/>
        <w:rPr>
          <w:sz w:val="24"/>
          <w:szCs w:val="24"/>
          <w:lang w:val="en-GB"/>
        </w:rPr>
      </w:pPr>
      <w:r w:rsidRPr="00E71880">
        <w:rPr>
          <w:sz w:val="24"/>
          <w:szCs w:val="24"/>
          <w:lang w:val="en-GB"/>
        </w:rPr>
        <w:t>ICRG Indicator for Quality of government – The mean value of the ICRG variables "Corruption", "Law and Order" and "Bureaucracy Quality", scaled 0-1. Higher values indicate higher quality of government; data are av. from 2000 to 2012</w:t>
      </w:r>
    </w:p>
    <w:p w14:paraId="4C3C1FFD" w14:textId="77777777" w:rsidR="00A11879" w:rsidRDefault="00A11879" w:rsidP="0060328A">
      <w:pPr>
        <w:pStyle w:val="Heading2"/>
        <w:spacing w:before="200"/>
        <w:jc w:val="both"/>
      </w:pPr>
      <w:bookmarkStart w:id="28" w:name="_Toc447096851"/>
      <w:r>
        <w:t>5.2 Labour Markets</w:t>
      </w:r>
      <w:bookmarkEnd w:id="28"/>
    </w:p>
    <w:p w14:paraId="625CBDEC" w14:textId="68B8A3DA" w:rsidR="001D53F0" w:rsidRPr="00E71880" w:rsidRDefault="002C7951" w:rsidP="0060328A">
      <w:pPr>
        <w:pStyle w:val="NoSpacing"/>
        <w:spacing w:line="276" w:lineRule="auto"/>
        <w:jc w:val="both"/>
        <w:rPr>
          <w:sz w:val="24"/>
          <w:szCs w:val="24"/>
          <w:lang w:val="en-US"/>
        </w:rPr>
      </w:pPr>
      <w:proofErr w:type="spellStart"/>
      <w:r w:rsidRPr="00E71880">
        <w:rPr>
          <w:rFonts w:cstheme="minorHAnsi"/>
          <w:sz w:val="24"/>
          <w:szCs w:val="24"/>
        </w:rPr>
        <w:t>If</w:t>
      </w:r>
      <w:proofErr w:type="spellEnd"/>
      <w:r w:rsidRPr="00E71880">
        <w:rPr>
          <w:rFonts w:cstheme="minorHAnsi"/>
          <w:sz w:val="24"/>
          <w:szCs w:val="24"/>
        </w:rPr>
        <w:t xml:space="preserve"> NSE is </w:t>
      </w:r>
      <w:proofErr w:type="spellStart"/>
      <w:r w:rsidRPr="00E71880">
        <w:rPr>
          <w:rFonts w:cstheme="minorHAnsi"/>
          <w:sz w:val="24"/>
          <w:szCs w:val="24"/>
        </w:rPr>
        <w:t>about</w:t>
      </w:r>
      <w:proofErr w:type="spellEnd"/>
      <w:r w:rsidRPr="00E71880">
        <w:rPr>
          <w:rFonts w:cstheme="minorHAnsi"/>
          <w:sz w:val="24"/>
          <w:szCs w:val="24"/>
        </w:rPr>
        <w:t xml:space="preserve"> </w:t>
      </w:r>
      <w:proofErr w:type="spellStart"/>
      <w:r w:rsidRPr="00E71880">
        <w:rPr>
          <w:rFonts w:cstheme="minorHAnsi"/>
          <w:sz w:val="24"/>
          <w:szCs w:val="24"/>
        </w:rPr>
        <w:t>creating</w:t>
      </w:r>
      <w:proofErr w:type="spellEnd"/>
      <w:r w:rsidRPr="00E71880">
        <w:rPr>
          <w:rFonts w:cstheme="minorHAnsi"/>
          <w:sz w:val="24"/>
          <w:szCs w:val="24"/>
        </w:rPr>
        <w:t xml:space="preserve"> </w:t>
      </w:r>
      <w:proofErr w:type="spellStart"/>
      <w:r w:rsidRPr="00E71880">
        <w:rPr>
          <w:rFonts w:cstheme="minorHAnsi"/>
          <w:sz w:val="24"/>
          <w:szCs w:val="24"/>
        </w:rPr>
        <w:t>an</w:t>
      </w:r>
      <w:proofErr w:type="spellEnd"/>
      <w:r w:rsidRPr="00E71880">
        <w:rPr>
          <w:rFonts w:cstheme="minorHAnsi"/>
          <w:sz w:val="24"/>
          <w:szCs w:val="24"/>
        </w:rPr>
        <w:t xml:space="preserve"> </w:t>
      </w:r>
      <w:proofErr w:type="spellStart"/>
      <w:r w:rsidRPr="00E71880">
        <w:rPr>
          <w:rFonts w:cstheme="minorHAnsi"/>
          <w:sz w:val="24"/>
          <w:szCs w:val="24"/>
        </w:rPr>
        <w:t>ecosystem</w:t>
      </w:r>
      <w:proofErr w:type="spellEnd"/>
      <w:r w:rsidRPr="00E71880">
        <w:rPr>
          <w:rFonts w:cstheme="minorHAnsi"/>
          <w:sz w:val="24"/>
          <w:szCs w:val="24"/>
        </w:rPr>
        <w:t xml:space="preserve"> </w:t>
      </w:r>
      <w:proofErr w:type="spellStart"/>
      <w:r w:rsidRPr="00E71880">
        <w:rPr>
          <w:rFonts w:cstheme="minorHAnsi"/>
          <w:sz w:val="24"/>
          <w:szCs w:val="24"/>
        </w:rPr>
        <w:t>where</w:t>
      </w:r>
      <w:proofErr w:type="spellEnd"/>
      <w:r w:rsidRPr="00E71880">
        <w:rPr>
          <w:rFonts w:cstheme="minorHAnsi"/>
          <w:sz w:val="24"/>
          <w:szCs w:val="24"/>
        </w:rPr>
        <w:t xml:space="preserve"> </w:t>
      </w:r>
      <w:proofErr w:type="spellStart"/>
      <w:r w:rsidRPr="00E71880">
        <w:rPr>
          <w:rFonts w:cstheme="minorHAnsi"/>
          <w:sz w:val="24"/>
          <w:szCs w:val="24"/>
        </w:rPr>
        <w:t>the</w:t>
      </w:r>
      <w:proofErr w:type="spellEnd"/>
      <w:r w:rsidRPr="00E71880">
        <w:rPr>
          <w:rFonts w:cstheme="minorHAnsi"/>
          <w:sz w:val="24"/>
          <w:szCs w:val="24"/>
        </w:rPr>
        <w:t xml:space="preserve"> </w:t>
      </w:r>
      <w:proofErr w:type="spellStart"/>
      <w:r w:rsidRPr="00E71880">
        <w:rPr>
          <w:rFonts w:cstheme="minorHAnsi"/>
          <w:sz w:val="24"/>
          <w:szCs w:val="24"/>
        </w:rPr>
        <w:t>outcome</w:t>
      </w:r>
      <w:proofErr w:type="spellEnd"/>
      <w:r w:rsidRPr="00E71880">
        <w:rPr>
          <w:rFonts w:cstheme="minorHAnsi"/>
          <w:sz w:val="24"/>
          <w:szCs w:val="24"/>
        </w:rPr>
        <w:t xml:space="preserve"> is high </w:t>
      </w:r>
      <w:proofErr w:type="spellStart"/>
      <w:r w:rsidRPr="00E71880">
        <w:rPr>
          <w:rFonts w:cstheme="minorHAnsi"/>
          <w:sz w:val="24"/>
          <w:szCs w:val="24"/>
        </w:rPr>
        <w:t>growth</w:t>
      </w:r>
      <w:proofErr w:type="spellEnd"/>
      <w:r w:rsidRPr="00E71880">
        <w:rPr>
          <w:rFonts w:cstheme="minorHAnsi"/>
          <w:sz w:val="24"/>
          <w:szCs w:val="24"/>
        </w:rPr>
        <w:t xml:space="preserve"> </w:t>
      </w:r>
      <w:proofErr w:type="spellStart"/>
      <w:r w:rsidRPr="00E71880">
        <w:rPr>
          <w:rFonts w:cstheme="minorHAnsi"/>
          <w:sz w:val="24"/>
          <w:szCs w:val="24"/>
        </w:rPr>
        <w:t>firms</w:t>
      </w:r>
      <w:proofErr w:type="spellEnd"/>
      <w:r w:rsidRPr="00E71880">
        <w:rPr>
          <w:rFonts w:cstheme="minorHAnsi"/>
          <w:sz w:val="24"/>
          <w:szCs w:val="24"/>
        </w:rPr>
        <w:t xml:space="preserve">, </w:t>
      </w:r>
      <w:proofErr w:type="spellStart"/>
      <w:r w:rsidRPr="00E71880">
        <w:rPr>
          <w:rFonts w:cstheme="minorHAnsi"/>
          <w:sz w:val="24"/>
          <w:szCs w:val="24"/>
        </w:rPr>
        <w:t>and</w:t>
      </w:r>
      <w:proofErr w:type="spellEnd"/>
      <w:r w:rsidRPr="00E71880">
        <w:rPr>
          <w:rFonts w:cstheme="minorHAnsi"/>
          <w:sz w:val="24"/>
          <w:szCs w:val="24"/>
        </w:rPr>
        <w:t xml:space="preserve"> </w:t>
      </w:r>
      <w:proofErr w:type="spellStart"/>
      <w:r w:rsidRPr="00E71880">
        <w:rPr>
          <w:rFonts w:cstheme="minorHAnsi"/>
          <w:sz w:val="24"/>
          <w:szCs w:val="24"/>
        </w:rPr>
        <w:t>allocating</w:t>
      </w:r>
      <w:proofErr w:type="spellEnd"/>
      <w:r w:rsidRPr="00E71880">
        <w:rPr>
          <w:rFonts w:cstheme="minorHAnsi"/>
          <w:sz w:val="24"/>
          <w:szCs w:val="24"/>
        </w:rPr>
        <w:t xml:space="preserve"> resources </w:t>
      </w:r>
      <w:proofErr w:type="spellStart"/>
      <w:r w:rsidRPr="00E71880">
        <w:rPr>
          <w:rFonts w:cstheme="minorHAnsi"/>
          <w:sz w:val="24"/>
          <w:szCs w:val="24"/>
        </w:rPr>
        <w:t>to</w:t>
      </w:r>
      <w:proofErr w:type="spellEnd"/>
      <w:r w:rsidRPr="00E71880">
        <w:rPr>
          <w:rFonts w:cstheme="minorHAnsi"/>
          <w:sz w:val="24"/>
          <w:szCs w:val="24"/>
        </w:rPr>
        <w:t xml:space="preserve"> </w:t>
      </w:r>
      <w:proofErr w:type="spellStart"/>
      <w:r w:rsidRPr="00E71880">
        <w:rPr>
          <w:rFonts w:cstheme="minorHAnsi"/>
          <w:sz w:val="24"/>
          <w:szCs w:val="24"/>
        </w:rPr>
        <w:t>them</w:t>
      </w:r>
      <w:proofErr w:type="spellEnd"/>
      <w:r w:rsidRPr="00E71880">
        <w:rPr>
          <w:rFonts w:cstheme="minorHAnsi"/>
          <w:sz w:val="24"/>
          <w:szCs w:val="24"/>
        </w:rPr>
        <w:t xml:space="preserve">, </w:t>
      </w:r>
      <w:proofErr w:type="spellStart"/>
      <w:r w:rsidRPr="00E71880">
        <w:rPr>
          <w:rFonts w:cstheme="minorHAnsi"/>
          <w:sz w:val="24"/>
          <w:szCs w:val="24"/>
        </w:rPr>
        <w:t>then</w:t>
      </w:r>
      <w:proofErr w:type="spellEnd"/>
      <w:r w:rsidRPr="00E71880">
        <w:rPr>
          <w:rFonts w:cstheme="minorHAnsi"/>
          <w:sz w:val="24"/>
          <w:szCs w:val="24"/>
        </w:rPr>
        <w:t xml:space="preserve"> </w:t>
      </w:r>
      <w:proofErr w:type="spellStart"/>
      <w:r w:rsidRPr="00E71880">
        <w:rPr>
          <w:rFonts w:cstheme="minorHAnsi"/>
          <w:sz w:val="24"/>
          <w:szCs w:val="24"/>
        </w:rPr>
        <w:t>labor</w:t>
      </w:r>
      <w:proofErr w:type="spellEnd"/>
      <w:r w:rsidRPr="00E71880">
        <w:rPr>
          <w:rFonts w:cstheme="minorHAnsi"/>
          <w:sz w:val="24"/>
          <w:szCs w:val="24"/>
        </w:rPr>
        <w:t xml:space="preserve"> </w:t>
      </w:r>
      <w:proofErr w:type="spellStart"/>
      <w:r w:rsidRPr="00E71880">
        <w:rPr>
          <w:rFonts w:cstheme="minorHAnsi"/>
          <w:sz w:val="24"/>
          <w:szCs w:val="24"/>
        </w:rPr>
        <w:t>markets</w:t>
      </w:r>
      <w:proofErr w:type="spellEnd"/>
      <w:r w:rsidRPr="00E71880">
        <w:rPr>
          <w:rFonts w:cstheme="minorHAnsi"/>
          <w:sz w:val="24"/>
          <w:szCs w:val="24"/>
        </w:rPr>
        <w:t xml:space="preserve"> are a </w:t>
      </w:r>
      <w:proofErr w:type="spellStart"/>
      <w:r w:rsidRPr="00E71880">
        <w:rPr>
          <w:rFonts w:cstheme="minorHAnsi"/>
          <w:sz w:val="24"/>
          <w:szCs w:val="24"/>
        </w:rPr>
        <w:t>key</w:t>
      </w:r>
      <w:proofErr w:type="spellEnd"/>
      <w:r w:rsidRPr="00E71880">
        <w:rPr>
          <w:rFonts w:cstheme="minorHAnsi"/>
          <w:sz w:val="24"/>
          <w:szCs w:val="24"/>
        </w:rPr>
        <w:t xml:space="preserve"> </w:t>
      </w:r>
      <w:proofErr w:type="spellStart"/>
      <w:r w:rsidRPr="00E71880">
        <w:rPr>
          <w:rFonts w:cstheme="minorHAnsi"/>
          <w:sz w:val="24"/>
          <w:szCs w:val="24"/>
        </w:rPr>
        <w:t>institutional</w:t>
      </w:r>
      <w:proofErr w:type="spellEnd"/>
      <w:r w:rsidRPr="00E71880">
        <w:rPr>
          <w:rFonts w:cstheme="minorHAnsi"/>
          <w:sz w:val="24"/>
          <w:szCs w:val="24"/>
        </w:rPr>
        <w:t xml:space="preserve"> variables.  </w:t>
      </w:r>
    </w:p>
    <w:p w14:paraId="1AEEEE70" w14:textId="78CF1ECB" w:rsidR="001D53F0" w:rsidRPr="00E71880" w:rsidRDefault="00B023C3" w:rsidP="0060328A">
      <w:pPr>
        <w:pStyle w:val="NoSpacing"/>
        <w:spacing w:line="276" w:lineRule="auto"/>
        <w:jc w:val="both"/>
        <w:rPr>
          <w:sz w:val="24"/>
          <w:szCs w:val="24"/>
          <w:lang w:val="en-US"/>
        </w:rPr>
      </w:pPr>
      <w:r w:rsidRPr="00E71880">
        <w:rPr>
          <w:sz w:val="24"/>
          <w:szCs w:val="24"/>
          <w:lang w:val="en-US"/>
        </w:rPr>
        <w:lastRenderedPageBreak/>
        <w:t xml:space="preserve">The focus </w:t>
      </w:r>
      <w:r w:rsidR="002C7951" w:rsidRPr="00E71880">
        <w:rPr>
          <w:sz w:val="24"/>
          <w:szCs w:val="24"/>
          <w:lang w:val="en-US"/>
        </w:rPr>
        <w:t xml:space="preserve">should be </w:t>
      </w:r>
      <w:r w:rsidRPr="00E71880">
        <w:rPr>
          <w:sz w:val="24"/>
          <w:szCs w:val="24"/>
          <w:lang w:val="en-US"/>
        </w:rPr>
        <w:t>on the ease with which entrepreneurs can get the human resources they need and what risks and barriers they face in doing so.</w:t>
      </w:r>
      <w:r w:rsidR="001D53F0" w:rsidRPr="00E71880">
        <w:rPr>
          <w:sz w:val="24"/>
          <w:szCs w:val="24"/>
          <w:lang w:val="en-US"/>
        </w:rPr>
        <w:t xml:space="preserve"> Furthermore, the different regulations and national frameworks related to the labor market may affect </w:t>
      </w:r>
      <w:r w:rsidR="002C7951" w:rsidRPr="00E71880">
        <w:rPr>
          <w:sz w:val="24"/>
          <w:szCs w:val="24"/>
          <w:lang w:val="en-US"/>
        </w:rPr>
        <w:t xml:space="preserve">the </w:t>
      </w:r>
      <w:r w:rsidR="001D53F0" w:rsidRPr="00E71880">
        <w:rPr>
          <w:sz w:val="24"/>
          <w:szCs w:val="24"/>
          <w:lang w:val="en-US"/>
        </w:rPr>
        <w:t>human capital of firms.</w:t>
      </w:r>
      <w:r w:rsidR="00112EDD" w:rsidRPr="00E71880">
        <w:rPr>
          <w:sz w:val="24"/>
          <w:szCs w:val="24"/>
          <w:lang w:val="en-US"/>
        </w:rPr>
        <w:t xml:space="preserve"> The essential fact is that countries that have highly regulated labor markets have a harder time hiring and firing people and therefore they are not conducive to innovative entrepreneurship.  The U.S. and other Anglo Saxon are structured for radical innovation while continental European countries are more focused on incremental innovation. Here strong labor market regulation does not hurt performance.</w:t>
      </w:r>
    </w:p>
    <w:p w14:paraId="74BEED10" w14:textId="69E1FA8E" w:rsidR="001D53F0" w:rsidRPr="00E71880" w:rsidRDefault="001D53F0" w:rsidP="0060328A">
      <w:pPr>
        <w:pStyle w:val="NoSpacing"/>
        <w:spacing w:line="276" w:lineRule="auto"/>
        <w:ind w:firstLine="708"/>
        <w:jc w:val="both"/>
        <w:rPr>
          <w:sz w:val="24"/>
          <w:szCs w:val="24"/>
          <w:lang w:val="en-US"/>
        </w:rPr>
      </w:pPr>
      <w:r w:rsidRPr="00E71880">
        <w:rPr>
          <w:sz w:val="24"/>
          <w:szCs w:val="24"/>
          <w:lang w:val="en-US"/>
        </w:rPr>
        <w:t xml:space="preserve">The mobility of </w:t>
      </w:r>
      <w:r w:rsidR="00195FF8" w:rsidRPr="00E71880">
        <w:rPr>
          <w:sz w:val="24"/>
          <w:szCs w:val="24"/>
          <w:lang w:val="en-US"/>
        </w:rPr>
        <w:t>labor</w:t>
      </w:r>
      <w:r w:rsidRPr="00E71880">
        <w:rPr>
          <w:sz w:val="24"/>
          <w:szCs w:val="24"/>
          <w:lang w:val="en-US"/>
        </w:rPr>
        <w:t xml:space="preserve">, especially the high-qualified </w:t>
      </w:r>
      <w:r w:rsidR="00195FF8" w:rsidRPr="00E71880">
        <w:rPr>
          <w:sz w:val="24"/>
          <w:szCs w:val="24"/>
          <w:lang w:val="en-US"/>
        </w:rPr>
        <w:t>labor</w:t>
      </w:r>
      <w:r w:rsidRPr="00E71880">
        <w:rPr>
          <w:sz w:val="24"/>
          <w:szCs w:val="24"/>
          <w:lang w:val="en-US"/>
        </w:rPr>
        <w:t xml:space="preserve"> </w:t>
      </w:r>
      <w:r w:rsidR="00C36451" w:rsidRPr="00E71880">
        <w:rPr>
          <w:sz w:val="24"/>
          <w:szCs w:val="24"/>
          <w:lang w:val="en-US"/>
        </w:rPr>
        <w:t>play</w:t>
      </w:r>
      <w:r w:rsidR="00195FF8" w:rsidRPr="00E71880">
        <w:rPr>
          <w:sz w:val="24"/>
          <w:szCs w:val="24"/>
          <w:lang w:val="en-US"/>
        </w:rPr>
        <w:t>s</w:t>
      </w:r>
      <w:r w:rsidR="00C36451" w:rsidRPr="00E71880">
        <w:rPr>
          <w:sz w:val="24"/>
          <w:szCs w:val="24"/>
          <w:lang w:val="en-US"/>
        </w:rPr>
        <w:t xml:space="preserve"> </w:t>
      </w:r>
      <w:r w:rsidRPr="00E71880">
        <w:rPr>
          <w:sz w:val="24"/>
          <w:szCs w:val="24"/>
          <w:lang w:val="en-US"/>
        </w:rPr>
        <w:t xml:space="preserve">an important role in founding new firms. </w:t>
      </w:r>
      <w:proofErr w:type="spellStart"/>
      <w:r w:rsidRPr="00E71880">
        <w:rPr>
          <w:sz w:val="24"/>
          <w:szCs w:val="24"/>
          <w:lang w:val="en-US"/>
        </w:rPr>
        <w:t>Frederiksen</w:t>
      </w:r>
      <w:proofErr w:type="spellEnd"/>
      <w:r w:rsidRPr="00E71880">
        <w:rPr>
          <w:sz w:val="24"/>
          <w:szCs w:val="24"/>
          <w:lang w:val="en-US"/>
        </w:rPr>
        <w:t xml:space="preserve">, </w:t>
      </w:r>
      <w:proofErr w:type="spellStart"/>
      <w:r w:rsidRPr="00E71880">
        <w:rPr>
          <w:sz w:val="24"/>
          <w:szCs w:val="24"/>
          <w:lang w:val="en-US"/>
        </w:rPr>
        <w:t>Wennberg</w:t>
      </w:r>
      <w:proofErr w:type="spellEnd"/>
      <w:r w:rsidRPr="00E71880">
        <w:rPr>
          <w:sz w:val="24"/>
          <w:szCs w:val="24"/>
          <w:lang w:val="en-US"/>
        </w:rPr>
        <w:t xml:space="preserve"> and Balachandran (2016) studied the effect of labor mobility for the entrepreneurial entry rate. They found that </w:t>
      </w:r>
      <w:r w:rsidRPr="00E71880">
        <w:rPr>
          <w:color w:val="231F20"/>
          <w:sz w:val="24"/>
          <w:szCs w:val="24"/>
          <w:lang w:val="en-US"/>
        </w:rPr>
        <w:t xml:space="preserve">there is a positive link among the mobility and founding </w:t>
      </w:r>
      <w:r w:rsidR="00C36451" w:rsidRPr="00E71880">
        <w:rPr>
          <w:color w:val="231F20"/>
          <w:sz w:val="24"/>
          <w:szCs w:val="24"/>
          <w:lang w:val="en-US"/>
        </w:rPr>
        <w:t xml:space="preserve">of </w:t>
      </w:r>
      <w:r w:rsidRPr="00E71880">
        <w:rPr>
          <w:color w:val="231F20"/>
          <w:sz w:val="24"/>
          <w:szCs w:val="24"/>
          <w:lang w:val="en-US"/>
        </w:rPr>
        <w:t xml:space="preserve">new </w:t>
      </w:r>
      <w:r w:rsidR="00C36451" w:rsidRPr="00E71880">
        <w:rPr>
          <w:color w:val="231F20"/>
          <w:sz w:val="24"/>
          <w:szCs w:val="24"/>
          <w:lang w:val="en-US"/>
        </w:rPr>
        <w:t>venture</w:t>
      </w:r>
      <w:r w:rsidRPr="00E71880">
        <w:rPr>
          <w:color w:val="231F20"/>
          <w:sz w:val="24"/>
          <w:szCs w:val="24"/>
          <w:lang w:val="en-US"/>
        </w:rPr>
        <w:t xml:space="preserve">s, but it does not affect the entrepreneurial performance. These processes are driven not only by the accumulation of knowledge from mobility, but alternative mechanisms also, such as an individual’s “taste for variety” or individuals being ill matched to </w:t>
      </w:r>
      <w:r w:rsidR="00C36451" w:rsidRPr="00E71880">
        <w:rPr>
          <w:color w:val="231F20"/>
          <w:sz w:val="24"/>
          <w:szCs w:val="24"/>
          <w:lang w:val="en-US"/>
        </w:rPr>
        <w:t xml:space="preserve">jobs in </w:t>
      </w:r>
      <w:r w:rsidRPr="00E71880">
        <w:rPr>
          <w:color w:val="231F20"/>
          <w:sz w:val="24"/>
          <w:szCs w:val="24"/>
          <w:lang w:val="en-US"/>
        </w:rPr>
        <w:t xml:space="preserve">the </w:t>
      </w:r>
      <w:r w:rsidR="00C36451" w:rsidRPr="00E71880">
        <w:rPr>
          <w:color w:val="231F20"/>
          <w:sz w:val="24"/>
          <w:szCs w:val="24"/>
          <w:lang w:val="en-US"/>
        </w:rPr>
        <w:t xml:space="preserve">formal </w:t>
      </w:r>
      <w:r w:rsidRPr="00E71880">
        <w:rPr>
          <w:color w:val="231F20"/>
          <w:sz w:val="24"/>
          <w:szCs w:val="24"/>
          <w:lang w:val="en-US"/>
        </w:rPr>
        <w:t xml:space="preserve">labor market. </w:t>
      </w:r>
    </w:p>
    <w:p w14:paraId="5B996BFB" w14:textId="1B849D87" w:rsidR="001D53F0" w:rsidRPr="00E71880" w:rsidRDefault="00435A78" w:rsidP="0060328A">
      <w:pPr>
        <w:pStyle w:val="NoSpacing"/>
        <w:spacing w:line="276" w:lineRule="auto"/>
        <w:ind w:firstLine="708"/>
        <w:jc w:val="both"/>
        <w:rPr>
          <w:sz w:val="24"/>
          <w:szCs w:val="24"/>
          <w:lang w:val="en-US"/>
        </w:rPr>
      </w:pPr>
      <w:r w:rsidRPr="00E71880">
        <w:rPr>
          <w:sz w:val="24"/>
          <w:szCs w:val="24"/>
          <w:lang w:val="en-US"/>
        </w:rPr>
        <w:t>Labor</w:t>
      </w:r>
      <w:r w:rsidR="001D53F0" w:rsidRPr="00E71880">
        <w:rPr>
          <w:sz w:val="24"/>
          <w:szCs w:val="24"/>
          <w:lang w:val="en-US"/>
        </w:rPr>
        <w:t xml:space="preserve"> market regulations also have </w:t>
      </w:r>
      <w:r w:rsidR="00195FF8" w:rsidRPr="00E71880">
        <w:rPr>
          <w:sz w:val="24"/>
          <w:szCs w:val="24"/>
          <w:lang w:val="en-US"/>
        </w:rPr>
        <w:t xml:space="preserve">an </w:t>
      </w:r>
      <w:r w:rsidR="001D53F0" w:rsidRPr="00E71880">
        <w:rPr>
          <w:sz w:val="24"/>
          <w:szCs w:val="24"/>
          <w:lang w:val="en-US"/>
        </w:rPr>
        <w:t>impact</w:t>
      </w:r>
      <w:r w:rsidR="00195FF8" w:rsidRPr="00E71880">
        <w:rPr>
          <w:sz w:val="24"/>
          <w:szCs w:val="24"/>
          <w:lang w:val="en-US"/>
        </w:rPr>
        <w:t xml:space="preserve"> on entrepreneurship</w:t>
      </w:r>
      <w:r w:rsidR="001D53F0" w:rsidRPr="00E71880">
        <w:rPr>
          <w:sz w:val="24"/>
          <w:szCs w:val="24"/>
          <w:lang w:val="en-US"/>
        </w:rPr>
        <w:t xml:space="preserve">. Henrekson and Dan (2008) investigated their effects on high-growth firms from three aspects: regulations in general, the wages and social insurance. According to their points, regulations give a framework for creating new firms, but they may also hinder foundation of new ventures. They may go a long way towards explaining differences in the rate of self-employment among the countries. Firms that are located in a country with relatively few regulations grow faster than </w:t>
      </w:r>
      <w:r w:rsidR="00C36451" w:rsidRPr="00E71880">
        <w:rPr>
          <w:sz w:val="24"/>
          <w:szCs w:val="24"/>
          <w:lang w:val="en-US"/>
        </w:rPr>
        <w:t xml:space="preserve">ventures </w:t>
      </w:r>
      <w:r w:rsidR="001D53F0" w:rsidRPr="00E71880">
        <w:rPr>
          <w:sz w:val="24"/>
          <w:szCs w:val="24"/>
          <w:lang w:val="en-US"/>
        </w:rPr>
        <w:t xml:space="preserve">that can be found in countries that have more strict regulations in tax rates or income. For the self-employed, compensation and working hours are totally unregulated and no labor security is mandated. The smallest firms may be able to benefit from greater freedom of contracting, since they do not have to sign a collective agreement within a given sector. </w:t>
      </w:r>
      <w:r w:rsidR="00C36451" w:rsidRPr="00E71880">
        <w:rPr>
          <w:sz w:val="24"/>
          <w:szCs w:val="24"/>
          <w:lang w:val="en-US"/>
        </w:rPr>
        <w:t xml:space="preserve">This flexibility is </w:t>
      </w:r>
      <w:r w:rsidR="001D53F0" w:rsidRPr="00E71880">
        <w:rPr>
          <w:sz w:val="24"/>
          <w:szCs w:val="24"/>
          <w:lang w:val="en-US"/>
        </w:rPr>
        <w:t>likely to be lost once the firm grows over a certain threshold.</w:t>
      </w:r>
    </w:p>
    <w:p w14:paraId="27D06F0D" w14:textId="6FCF72EA" w:rsidR="001D53F0" w:rsidRPr="00E71880" w:rsidRDefault="001D53F0" w:rsidP="0060328A">
      <w:pPr>
        <w:pStyle w:val="NoSpacing"/>
        <w:spacing w:line="276" w:lineRule="auto"/>
        <w:ind w:firstLine="708"/>
        <w:jc w:val="both"/>
        <w:rPr>
          <w:sz w:val="24"/>
          <w:szCs w:val="24"/>
          <w:lang w:val="en-US"/>
        </w:rPr>
      </w:pPr>
      <w:r w:rsidRPr="00E71880">
        <w:rPr>
          <w:sz w:val="24"/>
          <w:szCs w:val="24"/>
          <w:lang w:val="en-US"/>
        </w:rPr>
        <w:t>Beside regulations</w:t>
      </w:r>
      <w:r w:rsidR="00C36451" w:rsidRPr="00E71880">
        <w:rPr>
          <w:sz w:val="24"/>
          <w:szCs w:val="24"/>
          <w:lang w:val="en-US"/>
        </w:rPr>
        <w:t>,</w:t>
      </w:r>
      <w:r w:rsidRPr="00E71880">
        <w:rPr>
          <w:sz w:val="24"/>
          <w:szCs w:val="24"/>
          <w:lang w:val="en-US"/>
        </w:rPr>
        <w:t xml:space="preserve"> wages have also an important role, as the start-ups have to attract the high-qualified workforce. According to Henrekson and Dan (2008) the </w:t>
      </w:r>
      <w:r w:rsidR="00C36451" w:rsidRPr="00E71880">
        <w:rPr>
          <w:sz w:val="24"/>
          <w:szCs w:val="24"/>
          <w:lang w:val="en-US"/>
        </w:rPr>
        <w:t>established</w:t>
      </w:r>
      <w:r w:rsidRPr="00E71880">
        <w:rPr>
          <w:sz w:val="24"/>
          <w:szCs w:val="24"/>
          <w:lang w:val="en-US"/>
        </w:rPr>
        <w:t xml:space="preserve"> firms may pay higher wages than new e</w:t>
      </w:r>
      <w:r w:rsidR="00B023C3" w:rsidRPr="00E71880">
        <w:rPr>
          <w:sz w:val="24"/>
          <w:szCs w:val="24"/>
          <w:lang w:val="en-US"/>
        </w:rPr>
        <w:t>ntrepreneurship</w:t>
      </w:r>
      <w:r w:rsidRPr="00E71880">
        <w:rPr>
          <w:sz w:val="24"/>
          <w:szCs w:val="24"/>
          <w:lang w:val="en-US"/>
        </w:rPr>
        <w:t xml:space="preserve"> or those which operate in low-technology sectors. The </w:t>
      </w:r>
      <w:r w:rsidR="00195FF8" w:rsidRPr="00E71880">
        <w:rPr>
          <w:sz w:val="24"/>
          <w:szCs w:val="24"/>
          <w:lang w:val="en-US"/>
        </w:rPr>
        <w:t>growth of wages depends</w:t>
      </w:r>
      <w:r w:rsidRPr="00E71880">
        <w:rPr>
          <w:sz w:val="24"/>
          <w:szCs w:val="24"/>
          <w:lang w:val="en-US"/>
        </w:rPr>
        <w:t xml:space="preserve"> on the performance of the firm. Regulation of social security plays a crucial </w:t>
      </w:r>
      <w:r w:rsidR="00195FF8" w:rsidRPr="00E71880">
        <w:rPr>
          <w:sz w:val="24"/>
          <w:szCs w:val="24"/>
          <w:lang w:val="en-US"/>
        </w:rPr>
        <w:t xml:space="preserve">role </w:t>
      </w:r>
      <w:r w:rsidRPr="00E71880">
        <w:rPr>
          <w:sz w:val="24"/>
          <w:szCs w:val="24"/>
          <w:lang w:val="en-US"/>
        </w:rPr>
        <w:t xml:space="preserve">within labor market institutions. A generous welfare system may make less costly to bear uncertainty as an entrepreneur or transfer to a risky job in an entrepreneurial firm. The opportunity cost has an important role, since it is the cost that employee gives up if she or he changes to a job in entrepreneurial firm or being an entrepreneur. </w:t>
      </w:r>
      <w:r w:rsidR="00F31F72" w:rsidRPr="00E71880">
        <w:rPr>
          <w:sz w:val="24"/>
          <w:szCs w:val="24"/>
          <w:lang w:val="en-US"/>
        </w:rPr>
        <w:t>In effect this question is about whether one has a radical entrepreneurial society or an incremental one. Before WWII Germany and Japan had economies that were radical entrepreneurial society. The Germans invented rockets and jet engines!  After WWII the allies reduced these countries economic role to incremental innovative societies. So they in effect are no longer able to create billion dollar companies: unicorns.</w:t>
      </w:r>
    </w:p>
    <w:p w14:paraId="1442AD12" w14:textId="0478676F" w:rsidR="001D53F0" w:rsidRPr="00E71880" w:rsidRDefault="001D53F0" w:rsidP="0060328A">
      <w:pPr>
        <w:pStyle w:val="NoSpacing"/>
        <w:spacing w:line="276" w:lineRule="auto"/>
        <w:ind w:firstLine="708"/>
        <w:jc w:val="both"/>
        <w:rPr>
          <w:sz w:val="24"/>
          <w:szCs w:val="24"/>
          <w:lang w:val="en-US"/>
        </w:rPr>
      </w:pPr>
      <w:r w:rsidRPr="00E71880">
        <w:rPr>
          <w:sz w:val="24"/>
          <w:szCs w:val="24"/>
          <w:lang w:val="en-US"/>
        </w:rPr>
        <w:lastRenderedPageBreak/>
        <w:t xml:space="preserve">Labor market issues, especially the skills and knowledge of employees are in close relationship with the knowledge institutions. New products and innovations may stimulate the foundation of entrepreneurships and generate new firms (Feldman 2001, </w:t>
      </w:r>
      <w:proofErr w:type="spellStart"/>
      <w:r w:rsidRPr="00E71880">
        <w:rPr>
          <w:sz w:val="24"/>
          <w:szCs w:val="24"/>
          <w:lang w:val="en-US"/>
        </w:rPr>
        <w:t>Audretsch</w:t>
      </w:r>
      <w:proofErr w:type="spellEnd"/>
      <w:r w:rsidRPr="00E71880">
        <w:rPr>
          <w:sz w:val="24"/>
          <w:szCs w:val="24"/>
          <w:lang w:val="en-US"/>
        </w:rPr>
        <w:t>–</w:t>
      </w:r>
      <w:proofErr w:type="spellStart"/>
      <w:r w:rsidRPr="00E71880">
        <w:rPr>
          <w:sz w:val="24"/>
          <w:szCs w:val="24"/>
          <w:lang w:val="en-US"/>
        </w:rPr>
        <w:t>Keilbach</w:t>
      </w:r>
      <w:proofErr w:type="spellEnd"/>
      <w:r w:rsidRPr="00E71880">
        <w:rPr>
          <w:sz w:val="24"/>
          <w:szCs w:val="24"/>
          <w:lang w:val="en-US"/>
        </w:rPr>
        <w:t xml:space="preserve"> 2004, Stam 2010). The knowledge that induces the decision to start new firms is generated by investments. Therefore, the start-up serves as the mechanism through which knowledge spills over from sources that produced it (such as a university or research laboratory in an incumbent firm) to a new organizational form where it is actually commercialized (Acs et al. 2009).</w:t>
      </w:r>
    </w:p>
    <w:p w14:paraId="3AB739DE" w14:textId="77777777" w:rsidR="008E5E3F" w:rsidRPr="00E71880" w:rsidRDefault="008E5E3F" w:rsidP="0060328A">
      <w:pPr>
        <w:pStyle w:val="NoSpacing"/>
        <w:spacing w:line="276" w:lineRule="auto"/>
        <w:ind w:firstLine="708"/>
        <w:jc w:val="both"/>
        <w:rPr>
          <w:sz w:val="24"/>
          <w:szCs w:val="24"/>
          <w:lang w:val="en-US"/>
        </w:rPr>
      </w:pPr>
      <w:r w:rsidRPr="00E71880">
        <w:rPr>
          <w:sz w:val="24"/>
          <w:szCs w:val="24"/>
          <w:lang w:val="en-US"/>
        </w:rPr>
        <w:t xml:space="preserve">We have the following suggestion labor markets. </w:t>
      </w:r>
    </w:p>
    <w:p w14:paraId="6803D327" w14:textId="2233DC1B" w:rsidR="008E5E3F" w:rsidRPr="00E71880" w:rsidRDefault="008E5E3F" w:rsidP="0060328A">
      <w:pPr>
        <w:pStyle w:val="NoSpacing"/>
        <w:numPr>
          <w:ilvl w:val="0"/>
          <w:numId w:val="18"/>
        </w:numPr>
        <w:spacing w:line="276" w:lineRule="auto"/>
        <w:jc w:val="both"/>
        <w:rPr>
          <w:sz w:val="24"/>
          <w:szCs w:val="24"/>
          <w:lang w:val="en-US"/>
        </w:rPr>
      </w:pPr>
      <w:r w:rsidRPr="00E71880">
        <w:rPr>
          <w:sz w:val="24"/>
          <w:szCs w:val="24"/>
          <w:lang w:val="en-US"/>
        </w:rPr>
        <w:t>We will replace Pillar 8 human Capital with an institutional variable that measures labor market efficiency.</w:t>
      </w:r>
    </w:p>
    <w:p w14:paraId="25B90C5D" w14:textId="21FEC7D2" w:rsidR="008E5E3F" w:rsidRPr="00E71880" w:rsidRDefault="008E5E3F" w:rsidP="0060328A">
      <w:pPr>
        <w:pStyle w:val="NoSpacing"/>
        <w:numPr>
          <w:ilvl w:val="0"/>
          <w:numId w:val="18"/>
        </w:numPr>
        <w:spacing w:line="276" w:lineRule="auto"/>
        <w:jc w:val="both"/>
        <w:rPr>
          <w:sz w:val="24"/>
          <w:szCs w:val="24"/>
          <w:lang w:val="en-US"/>
        </w:rPr>
      </w:pPr>
      <w:r w:rsidRPr="00E71880">
        <w:rPr>
          <w:sz w:val="24"/>
          <w:szCs w:val="24"/>
          <w:lang w:val="en-US"/>
        </w:rPr>
        <w:t>We will replace Pillar 4 Networking internet usage with a measure of social media abilities.</w:t>
      </w:r>
    </w:p>
    <w:p w14:paraId="6DA007D7" w14:textId="77777777" w:rsidR="001D53F0" w:rsidRPr="00E71880" w:rsidRDefault="001D53F0" w:rsidP="0060328A">
      <w:pPr>
        <w:pStyle w:val="NoSpacing"/>
        <w:spacing w:line="276" w:lineRule="auto"/>
        <w:jc w:val="both"/>
        <w:rPr>
          <w:sz w:val="24"/>
          <w:szCs w:val="24"/>
          <w:lang w:val="en-US"/>
        </w:rPr>
      </w:pPr>
    </w:p>
    <w:p w14:paraId="623079D6" w14:textId="77777777" w:rsidR="00A87255" w:rsidRPr="00E71880" w:rsidRDefault="00A87255" w:rsidP="0060328A">
      <w:pPr>
        <w:pStyle w:val="NoSpacing"/>
        <w:spacing w:line="276" w:lineRule="auto"/>
        <w:jc w:val="both"/>
        <w:rPr>
          <w:b/>
          <w:sz w:val="24"/>
          <w:szCs w:val="24"/>
          <w:lang w:val="en-GB"/>
        </w:rPr>
      </w:pPr>
      <w:r w:rsidRPr="00E71880">
        <w:rPr>
          <w:b/>
          <w:sz w:val="24"/>
          <w:szCs w:val="24"/>
          <w:u w:val="single"/>
          <w:lang w:val="en-GB"/>
        </w:rPr>
        <w:t>Further suggested indicators that we have not investigated and tested yet in the report</w:t>
      </w:r>
      <w:r w:rsidRPr="00E71880">
        <w:rPr>
          <w:b/>
          <w:sz w:val="24"/>
          <w:szCs w:val="24"/>
          <w:lang w:val="en-GB"/>
        </w:rPr>
        <w:t>:</w:t>
      </w:r>
    </w:p>
    <w:p w14:paraId="78BEF961" w14:textId="77777777" w:rsidR="00A87255" w:rsidRPr="00E71880" w:rsidRDefault="00A87255" w:rsidP="0060328A">
      <w:pPr>
        <w:pStyle w:val="NoSpacing"/>
        <w:spacing w:line="276" w:lineRule="auto"/>
        <w:jc w:val="both"/>
        <w:rPr>
          <w:sz w:val="24"/>
          <w:szCs w:val="24"/>
          <w:lang w:val="en-GB"/>
        </w:rPr>
      </w:pPr>
    </w:p>
    <w:p w14:paraId="20CE514B" w14:textId="77777777" w:rsidR="00A87255" w:rsidRPr="00E71880" w:rsidRDefault="00A87255" w:rsidP="0060328A">
      <w:pPr>
        <w:pStyle w:val="NoSpacing"/>
        <w:spacing w:line="276" w:lineRule="auto"/>
        <w:jc w:val="both"/>
        <w:rPr>
          <w:sz w:val="24"/>
          <w:szCs w:val="24"/>
          <w:lang w:val="en-GB"/>
        </w:rPr>
      </w:pPr>
      <w:r w:rsidRPr="00E71880">
        <w:rPr>
          <w:i/>
          <w:sz w:val="24"/>
          <w:szCs w:val="24"/>
          <w:lang w:val="en-GB"/>
        </w:rPr>
        <w:t>For Human capital (Labour markets)</w:t>
      </w:r>
    </w:p>
    <w:p w14:paraId="0595793E" w14:textId="651D4B1B" w:rsidR="00A87255" w:rsidRPr="00E71880" w:rsidRDefault="00A87255" w:rsidP="0060328A">
      <w:pPr>
        <w:pStyle w:val="NoSpacing"/>
        <w:numPr>
          <w:ilvl w:val="0"/>
          <w:numId w:val="19"/>
        </w:numPr>
        <w:spacing w:line="276" w:lineRule="auto"/>
        <w:jc w:val="both"/>
        <w:rPr>
          <w:sz w:val="24"/>
          <w:szCs w:val="24"/>
          <w:lang w:val="en-GB"/>
        </w:rPr>
      </w:pPr>
      <w:r w:rsidRPr="00E71880">
        <w:rPr>
          <w:sz w:val="24"/>
          <w:szCs w:val="24"/>
          <w:lang w:val="en-GB"/>
        </w:rPr>
        <w:t>Availability of scientists and engineers – categorical indicator of Global Competitiveness Index; it measures the availability of scientists and engineers in a given county; 1= not at all, 7= widely available; data are av. from 2006 to 2015</w:t>
      </w:r>
      <w:r w:rsidR="00A5561A" w:rsidRPr="00E71880">
        <w:rPr>
          <w:sz w:val="24"/>
          <w:szCs w:val="24"/>
          <w:lang w:val="en-GB"/>
        </w:rPr>
        <w:t>.</w:t>
      </w:r>
    </w:p>
    <w:p w14:paraId="2C76D02E" w14:textId="20885A00" w:rsidR="00A5561A" w:rsidRPr="00E71880" w:rsidRDefault="00A5561A" w:rsidP="0060328A">
      <w:pPr>
        <w:pStyle w:val="NoSpacing"/>
        <w:numPr>
          <w:ilvl w:val="0"/>
          <w:numId w:val="19"/>
        </w:numPr>
        <w:spacing w:line="276" w:lineRule="auto"/>
        <w:jc w:val="both"/>
        <w:rPr>
          <w:sz w:val="24"/>
          <w:szCs w:val="24"/>
          <w:lang w:val="en-GB"/>
        </w:rPr>
      </w:pPr>
      <w:r w:rsidRPr="00E71880">
        <w:rPr>
          <w:sz w:val="24"/>
          <w:szCs w:val="24"/>
          <w:lang w:val="en-GB"/>
        </w:rPr>
        <w:t xml:space="preserve">Employment protection legislation index from the OECD and the World Bank as an indicator of </w:t>
      </w:r>
      <w:proofErr w:type="spellStart"/>
      <w:r w:rsidRPr="00E71880">
        <w:rPr>
          <w:sz w:val="24"/>
          <w:szCs w:val="24"/>
          <w:lang w:val="en-GB"/>
        </w:rPr>
        <w:t>istitutins</w:t>
      </w:r>
      <w:proofErr w:type="spellEnd"/>
      <w:r w:rsidRPr="00E71880">
        <w:rPr>
          <w:sz w:val="24"/>
          <w:szCs w:val="24"/>
          <w:lang w:val="en-GB"/>
        </w:rPr>
        <w:t xml:space="preserve"> enabling/constraining labour mobility.</w:t>
      </w:r>
    </w:p>
    <w:p w14:paraId="5258ED9B" w14:textId="77777777" w:rsidR="00A87255" w:rsidRPr="00E71880" w:rsidRDefault="00A87255" w:rsidP="0060328A">
      <w:pPr>
        <w:pStyle w:val="NoSpacing"/>
        <w:spacing w:line="276" w:lineRule="auto"/>
        <w:jc w:val="both"/>
        <w:rPr>
          <w:sz w:val="24"/>
          <w:szCs w:val="24"/>
          <w:lang w:val="en-GB"/>
        </w:rPr>
      </w:pPr>
    </w:p>
    <w:p w14:paraId="38A021FC" w14:textId="77777777" w:rsidR="00A87255" w:rsidRPr="00E71880" w:rsidRDefault="00A87255" w:rsidP="0060328A">
      <w:pPr>
        <w:pStyle w:val="NoSpacing"/>
        <w:spacing w:line="276" w:lineRule="auto"/>
        <w:jc w:val="both"/>
        <w:rPr>
          <w:sz w:val="24"/>
          <w:szCs w:val="24"/>
          <w:lang w:val="en-GB"/>
        </w:rPr>
      </w:pPr>
      <w:r w:rsidRPr="00E71880">
        <w:rPr>
          <w:i/>
          <w:sz w:val="24"/>
          <w:szCs w:val="24"/>
          <w:lang w:val="en-GB"/>
        </w:rPr>
        <w:t>For Digital skills</w:t>
      </w:r>
    </w:p>
    <w:p w14:paraId="4B4B6C00" w14:textId="77777777" w:rsidR="00A87255" w:rsidRPr="00CD087E" w:rsidRDefault="00A87255" w:rsidP="0060328A">
      <w:pPr>
        <w:pStyle w:val="NoSpacing"/>
        <w:numPr>
          <w:ilvl w:val="0"/>
          <w:numId w:val="19"/>
        </w:numPr>
        <w:spacing w:line="276" w:lineRule="auto"/>
        <w:jc w:val="both"/>
        <w:rPr>
          <w:rFonts w:ascii="Times New Roman" w:hAnsi="Times New Roman"/>
          <w:sz w:val="24"/>
          <w:szCs w:val="24"/>
          <w:lang w:val="en-GB"/>
        </w:rPr>
      </w:pPr>
      <w:r w:rsidRPr="00E71880">
        <w:rPr>
          <w:sz w:val="24"/>
          <w:szCs w:val="24"/>
          <w:lang w:val="en-GB"/>
        </w:rPr>
        <w:t>Different variables of ITU Database –, Percentage of the population covered by at least a 3G mobile network (other variables can be added later); data av. depends on the country</w:t>
      </w:r>
    </w:p>
    <w:p w14:paraId="26E1C9E1" w14:textId="7C3DAF95" w:rsidR="00A11879" w:rsidRDefault="00A11879" w:rsidP="0060328A">
      <w:pPr>
        <w:pStyle w:val="Heading2"/>
        <w:spacing w:before="200"/>
        <w:jc w:val="both"/>
      </w:pPr>
      <w:bookmarkStart w:id="29" w:name="_Toc447096852"/>
      <w:r>
        <w:t>5.</w:t>
      </w:r>
      <w:r w:rsidR="00FA5345">
        <w:t>3</w:t>
      </w:r>
      <w:r>
        <w:t xml:space="preserve"> Taxes</w:t>
      </w:r>
      <w:bookmarkEnd w:id="29"/>
    </w:p>
    <w:p w14:paraId="7FA17A50" w14:textId="77777777" w:rsidR="001D53F0" w:rsidRDefault="001D53F0" w:rsidP="0060328A">
      <w:pPr>
        <w:spacing w:line="276" w:lineRule="auto"/>
        <w:jc w:val="both"/>
      </w:pPr>
    </w:p>
    <w:p w14:paraId="7F761E8F" w14:textId="0E412E93" w:rsidR="001D53F0" w:rsidRPr="00046A85" w:rsidRDefault="002C7951" w:rsidP="00046A85">
      <w:pPr>
        <w:pStyle w:val="NoSpacing"/>
        <w:spacing w:line="276" w:lineRule="auto"/>
        <w:jc w:val="both"/>
        <w:rPr>
          <w:sz w:val="24"/>
          <w:szCs w:val="24"/>
          <w:lang w:val="en-US"/>
        </w:rPr>
      </w:pPr>
      <w:proofErr w:type="spellStart"/>
      <w:r w:rsidRPr="00046A85">
        <w:rPr>
          <w:rFonts w:cstheme="minorHAnsi"/>
          <w:sz w:val="24"/>
          <w:szCs w:val="24"/>
        </w:rPr>
        <w:t>If</w:t>
      </w:r>
      <w:proofErr w:type="spellEnd"/>
      <w:r w:rsidRPr="00046A85">
        <w:rPr>
          <w:rFonts w:cstheme="minorHAnsi"/>
          <w:sz w:val="24"/>
          <w:szCs w:val="24"/>
        </w:rPr>
        <w:t xml:space="preserve"> NSE is </w:t>
      </w:r>
      <w:proofErr w:type="spellStart"/>
      <w:r w:rsidRPr="00046A85">
        <w:rPr>
          <w:rFonts w:cstheme="minorHAnsi"/>
          <w:sz w:val="24"/>
          <w:szCs w:val="24"/>
        </w:rPr>
        <w:t>about</w:t>
      </w:r>
      <w:proofErr w:type="spellEnd"/>
      <w:r w:rsidRPr="00046A85">
        <w:rPr>
          <w:rFonts w:cstheme="minorHAnsi"/>
          <w:sz w:val="24"/>
          <w:szCs w:val="24"/>
        </w:rPr>
        <w:t xml:space="preserve"> </w:t>
      </w:r>
      <w:proofErr w:type="spellStart"/>
      <w:r w:rsidRPr="00046A85">
        <w:rPr>
          <w:rFonts w:cstheme="minorHAnsi"/>
          <w:sz w:val="24"/>
          <w:szCs w:val="24"/>
        </w:rPr>
        <w:t>creating</w:t>
      </w:r>
      <w:proofErr w:type="spellEnd"/>
      <w:r w:rsidRPr="00046A85">
        <w:rPr>
          <w:rFonts w:cstheme="minorHAnsi"/>
          <w:sz w:val="24"/>
          <w:szCs w:val="24"/>
        </w:rPr>
        <w:t xml:space="preserve"> </w:t>
      </w:r>
      <w:proofErr w:type="spellStart"/>
      <w:r w:rsidRPr="00046A85">
        <w:rPr>
          <w:rFonts w:cstheme="minorHAnsi"/>
          <w:sz w:val="24"/>
          <w:szCs w:val="24"/>
        </w:rPr>
        <w:t>an</w:t>
      </w:r>
      <w:proofErr w:type="spellEnd"/>
      <w:r w:rsidRPr="00046A85">
        <w:rPr>
          <w:rFonts w:cstheme="minorHAnsi"/>
          <w:sz w:val="24"/>
          <w:szCs w:val="24"/>
        </w:rPr>
        <w:t xml:space="preserve"> </w:t>
      </w:r>
      <w:proofErr w:type="spellStart"/>
      <w:r w:rsidRPr="00046A85">
        <w:rPr>
          <w:rFonts w:cstheme="minorHAnsi"/>
          <w:sz w:val="24"/>
          <w:szCs w:val="24"/>
        </w:rPr>
        <w:t>ecosystem</w:t>
      </w:r>
      <w:proofErr w:type="spellEnd"/>
      <w:r w:rsidRPr="00046A85">
        <w:rPr>
          <w:rFonts w:cstheme="minorHAnsi"/>
          <w:sz w:val="24"/>
          <w:szCs w:val="24"/>
        </w:rPr>
        <w:t xml:space="preserve"> </w:t>
      </w:r>
      <w:proofErr w:type="spellStart"/>
      <w:r w:rsidRPr="00046A85">
        <w:rPr>
          <w:rFonts w:cstheme="minorHAnsi"/>
          <w:sz w:val="24"/>
          <w:szCs w:val="24"/>
        </w:rPr>
        <w:t>where</w:t>
      </w:r>
      <w:proofErr w:type="spellEnd"/>
      <w:r w:rsidRPr="00046A85">
        <w:rPr>
          <w:rFonts w:cstheme="minorHAnsi"/>
          <w:sz w:val="24"/>
          <w:szCs w:val="24"/>
        </w:rPr>
        <w:t xml:space="preserve"> </w:t>
      </w:r>
      <w:proofErr w:type="spellStart"/>
      <w:r w:rsidRPr="00046A85">
        <w:rPr>
          <w:rFonts w:cstheme="minorHAnsi"/>
          <w:sz w:val="24"/>
          <w:szCs w:val="24"/>
        </w:rPr>
        <w:t>the</w:t>
      </w:r>
      <w:proofErr w:type="spellEnd"/>
      <w:r w:rsidRPr="00046A85">
        <w:rPr>
          <w:rFonts w:cstheme="minorHAnsi"/>
          <w:sz w:val="24"/>
          <w:szCs w:val="24"/>
        </w:rPr>
        <w:t xml:space="preserve"> </w:t>
      </w:r>
      <w:proofErr w:type="spellStart"/>
      <w:r w:rsidRPr="00046A85">
        <w:rPr>
          <w:rFonts w:cstheme="minorHAnsi"/>
          <w:sz w:val="24"/>
          <w:szCs w:val="24"/>
        </w:rPr>
        <w:t>outcome</w:t>
      </w:r>
      <w:proofErr w:type="spellEnd"/>
      <w:r w:rsidRPr="00046A85">
        <w:rPr>
          <w:rFonts w:cstheme="minorHAnsi"/>
          <w:sz w:val="24"/>
          <w:szCs w:val="24"/>
        </w:rPr>
        <w:t xml:space="preserve"> is high </w:t>
      </w:r>
      <w:proofErr w:type="spellStart"/>
      <w:r w:rsidRPr="00046A85">
        <w:rPr>
          <w:rFonts w:cstheme="minorHAnsi"/>
          <w:sz w:val="24"/>
          <w:szCs w:val="24"/>
        </w:rPr>
        <w:t>growth</w:t>
      </w:r>
      <w:proofErr w:type="spellEnd"/>
      <w:r w:rsidRPr="00046A85">
        <w:rPr>
          <w:rFonts w:cstheme="minorHAnsi"/>
          <w:sz w:val="24"/>
          <w:szCs w:val="24"/>
        </w:rPr>
        <w:t xml:space="preserve"> </w:t>
      </w:r>
      <w:proofErr w:type="spellStart"/>
      <w:r w:rsidRPr="00046A85">
        <w:rPr>
          <w:rFonts w:cstheme="minorHAnsi"/>
          <w:sz w:val="24"/>
          <w:szCs w:val="24"/>
        </w:rPr>
        <w:t>firms</w:t>
      </w:r>
      <w:proofErr w:type="spellEnd"/>
      <w:r w:rsidRPr="00046A85">
        <w:rPr>
          <w:rFonts w:cstheme="minorHAnsi"/>
          <w:sz w:val="24"/>
          <w:szCs w:val="24"/>
        </w:rPr>
        <w:t xml:space="preserve">, </w:t>
      </w:r>
      <w:proofErr w:type="spellStart"/>
      <w:r w:rsidRPr="00046A85">
        <w:rPr>
          <w:rFonts w:cstheme="minorHAnsi"/>
          <w:sz w:val="24"/>
          <w:szCs w:val="24"/>
        </w:rPr>
        <w:t>and</w:t>
      </w:r>
      <w:proofErr w:type="spellEnd"/>
      <w:r w:rsidRPr="00046A85">
        <w:rPr>
          <w:rFonts w:cstheme="minorHAnsi"/>
          <w:sz w:val="24"/>
          <w:szCs w:val="24"/>
        </w:rPr>
        <w:t xml:space="preserve"> </w:t>
      </w:r>
      <w:proofErr w:type="spellStart"/>
      <w:r w:rsidRPr="00046A85">
        <w:rPr>
          <w:rFonts w:cstheme="minorHAnsi"/>
          <w:sz w:val="24"/>
          <w:szCs w:val="24"/>
        </w:rPr>
        <w:t>allocating</w:t>
      </w:r>
      <w:proofErr w:type="spellEnd"/>
      <w:r w:rsidRPr="00046A85">
        <w:rPr>
          <w:rFonts w:cstheme="minorHAnsi"/>
          <w:sz w:val="24"/>
          <w:szCs w:val="24"/>
        </w:rPr>
        <w:t xml:space="preserve"> resources </w:t>
      </w:r>
      <w:proofErr w:type="spellStart"/>
      <w:r w:rsidRPr="00046A85">
        <w:rPr>
          <w:rFonts w:cstheme="minorHAnsi"/>
          <w:sz w:val="24"/>
          <w:szCs w:val="24"/>
        </w:rPr>
        <w:t>to</w:t>
      </w:r>
      <w:proofErr w:type="spellEnd"/>
      <w:r w:rsidRPr="00046A85">
        <w:rPr>
          <w:rFonts w:cstheme="minorHAnsi"/>
          <w:sz w:val="24"/>
          <w:szCs w:val="24"/>
        </w:rPr>
        <w:t xml:space="preserve"> </w:t>
      </w:r>
      <w:proofErr w:type="spellStart"/>
      <w:r w:rsidRPr="00046A85">
        <w:rPr>
          <w:rFonts w:cstheme="minorHAnsi"/>
          <w:sz w:val="24"/>
          <w:szCs w:val="24"/>
        </w:rPr>
        <w:t>them</w:t>
      </w:r>
      <w:proofErr w:type="spellEnd"/>
      <w:r w:rsidRPr="00046A85">
        <w:rPr>
          <w:rFonts w:cstheme="minorHAnsi"/>
          <w:sz w:val="24"/>
          <w:szCs w:val="24"/>
        </w:rPr>
        <w:t xml:space="preserve">, </w:t>
      </w:r>
      <w:proofErr w:type="spellStart"/>
      <w:r w:rsidRPr="00046A85">
        <w:rPr>
          <w:rFonts w:cstheme="minorHAnsi"/>
          <w:sz w:val="24"/>
          <w:szCs w:val="24"/>
        </w:rPr>
        <w:t>then</w:t>
      </w:r>
      <w:proofErr w:type="spellEnd"/>
      <w:r w:rsidRPr="00046A85">
        <w:rPr>
          <w:rFonts w:cstheme="minorHAnsi"/>
          <w:sz w:val="24"/>
          <w:szCs w:val="24"/>
        </w:rPr>
        <w:t xml:space="preserve"> public </w:t>
      </w:r>
      <w:proofErr w:type="spellStart"/>
      <w:r w:rsidRPr="00046A85">
        <w:rPr>
          <w:rFonts w:cstheme="minorHAnsi"/>
          <w:sz w:val="24"/>
          <w:szCs w:val="24"/>
        </w:rPr>
        <w:t>finance</w:t>
      </w:r>
      <w:proofErr w:type="spellEnd"/>
      <w:r w:rsidRPr="00046A85">
        <w:rPr>
          <w:rFonts w:cstheme="minorHAnsi"/>
          <w:sz w:val="24"/>
          <w:szCs w:val="24"/>
        </w:rPr>
        <w:t xml:space="preserve"> is a </w:t>
      </w:r>
      <w:proofErr w:type="spellStart"/>
      <w:r w:rsidRPr="00046A85">
        <w:rPr>
          <w:rFonts w:cstheme="minorHAnsi"/>
          <w:sz w:val="24"/>
          <w:szCs w:val="24"/>
        </w:rPr>
        <w:t>key</w:t>
      </w:r>
      <w:proofErr w:type="spellEnd"/>
      <w:r w:rsidRPr="00046A85">
        <w:rPr>
          <w:rFonts w:cstheme="minorHAnsi"/>
          <w:sz w:val="24"/>
          <w:szCs w:val="24"/>
        </w:rPr>
        <w:t xml:space="preserve"> </w:t>
      </w:r>
      <w:proofErr w:type="spellStart"/>
      <w:r w:rsidRPr="00046A85">
        <w:rPr>
          <w:rFonts w:cstheme="minorHAnsi"/>
          <w:sz w:val="24"/>
          <w:szCs w:val="24"/>
        </w:rPr>
        <w:t>institutional</w:t>
      </w:r>
      <w:proofErr w:type="spellEnd"/>
      <w:r w:rsidRPr="00046A85">
        <w:rPr>
          <w:rFonts w:cstheme="minorHAnsi"/>
          <w:sz w:val="24"/>
          <w:szCs w:val="24"/>
        </w:rPr>
        <w:t xml:space="preserve"> variables.  </w:t>
      </w:r>
      <w:proofErr w:type="spellStart"/>
      <w:r w:rsidRPr="00046A85">
        <w:rPr>
          <w:rFonts w:cstheme="minorHAnsi"/>
          <w:sz w:val="24"/>
          <w:szCs w:val="24"/>
        </w:rPr>
        <w:t>Taxes</w:t>
      </w:r>
      <w:proofErr w:type="spellEnd"/>
      <w:r w:rsidRPr="00046A85">
        <w:rPr>
          <w:rFonts w:cstheme="minorHAnsi"/>
          <w:sz w:val="24"/>
          <w:szCs w:val="24"/>
        </w:rPr>
        <w:t xml:space="preserve"> in </w:t>
      </w:r>
      <w:proofErr w:type="spellStart"/>
      <w:r w:rsidRPr="00046A85">
        <w:rPr>
          <w:rFonts w:cstheme="minorHAnsi"/>
          <w:sz w:val="24"/>
          <w:szCs w:val="24"/>
        </w:rPr>
        <w:t>general</w:t>
      </w:r>
      <w:proofErr w:type="spellEnd"/>
      <w:r w:rsidRPr="00046A85">
        <w:rPr>
          <w:rFonts w:cstheme="minorHAnsi"/>
          <w:sz w:val="24"/>
          <w:szCs w:val="24"/>
        </w:rPr>
        <w:t xml:space="preserve"> </w:t>
      </w:r>
      <w:proofErr w:type="spellStart"/>
      <w:r w:rsidRPr="00046A85">
        <w:rPr>
          <w:rFonts w:cstheme="minorHAnsi"/>
          <w:sz w:val="24"/>
          <w:szCs w:val="24"/>
        </w:rPr>
        <w:t>can</w:t>
      </w:r>
      <w:proofErr w:type="spellEnd"/>
      <w:r w:rsidRPr="00046A85">
        <w:rPr>
          <w:rFonts w:cstheme="minorHAnsi"/>
          <w:sz w:val="24"/>
          <w:szCs w:val="24"/>
        </w:rPr>
        <w:t xml:space="preserve"> </w:t>
      </w:r>
      <w:proofErr w:type="spellStart"/>
      <w:r w:rsidRPr="00046A85">
        <w:rPr>
          <w:rFonts w:cstheme="minorHAnsi"/>
          <w:sz w:val="24"/>
          <w:szCs w:val="24"/>
        </w:rPr>
        <w:t>be</w:t>
      </w:r>
      <w:proofErr w:type="spellEnd"/>
      <w:r w:rsidRPr="00046A85">
        <w:rPr>
          <w:rFonts w:cstheme="minorHAnsi"/>
          <w:sz w:val="24"/>
          <w:szCs w:val="24"/>
        </w:rPr>
        <w:t xml:space="preserve"> a </w:t>
      </w:r>
      <w:proofErr w:type="spellStart"/>
      <w:r w:rsidRPr="00046A85">
        <w:rPr>
          <w:rFonts w:cstheme="minorHAnsi"/>
          <w:sz w:val="24"/>
          <w:szCs w:val="24"/>
        </w:rPr>
        <w:t>great</w:t>
      </w:r>
      <w:proofErr w:type="spellEnd"/>
      <w:r w:rsidRPr="00046A85">
        <w:rPr>
          <w:rFonts w:cstheme="minorHAnsi"/>
          <w:sz w:val="24"/>
          <w:szCs w:val="24"/>
        </w:rPr>
        <w:t xml:space="preserve"> </w:t>
      </w:r>
      <w:proofErr w:type="spellStart"/>
      <w:r w:rsidRPr="00046A85">
        <w:rPr>
          <w:rFonts w:cstheme="minorHAnsi"/>
          <w:sz w:val="24"/>
          <w:szCs w:val="24"/>
        </w:rPr>
        <w:t>deterent</w:t>
      </w:r>
      <w:proofErr w:type="spellEnd"/>
      <w:r w:rsidRPr="00046A85">
        <w:rPr>
          <w:rFonts w:cstheme="minorHAnsi"/>
          <w:sz w:val="24"/>
          <w:szCs w:val="24"/>
        </w:rPr>
        <w:t xml:space="preserve"> </w:t>
      </w:r>
      <w:proofErr w:type="spellStart"/>
      <w:r w:rsidRPr="00046A85">
        <w:rPr>
          <w:rFonts w:cstheme="minorHAnsi"/>
          <w:sz w:val="24"/>
          <w:szCs w:val="24"/>
        </w:rPr>
        <w:t>to</w:t>
      </w:r>
      <w:proofErr w:type="spellEnd"/>
      <w:r w:rsidRPr="00046A85">
        <w:rPr>
          <w:rFonts w:cstheme="minorHAnsi"/>
          <w:sz w:val="24"/>
          <w:szCs w:val="24"/>
        </w:rPr>
        <w:t xml:space="preserve"> </w:t>
      </w:r>
      <w:proofErr w:type="spellStart"/>
      <w:r w:rsidRPr="00046A85">
        <w:rPr>
          <w:rFonts w:cstheme="minorHAnsi"/>
          <w:sz w:val="24"/>
          <w:szCs w:val="24"/>
        </w:rPr>
        <w:t>entreprneurial</w:t>
      </w:r>
      <w:proofErr w:type="spellEnd"/>
      <w:r w:rsidRPr="00046A85">
        <w:rPr>
          <w:rFonts w:cstheme="minorHAnsi"/>
          <w:sz w:val="24"/>
          <w:szCs w:val="24"/>
        </w:rPr>
        <w:t xml:space="preserve"> startups. </w:t>
      </w:r>
      <w:r w:rsidR="001D53F0" w:rsidRPr="00046A85">
        <w:rPr>
          <w:sz w:val="24"/>
          <w:szCs w:val="24"/>
          <w:lang w:val="en-US"/>
        </w:rPr>
        <w:t>The difficulty of measurement taxation starts with the fact that taxation constitutes a system by itself.  Besides tax rates, tax regulation</w:t>
      </w:r>
      <w:r w:rsidR="000D1DF2" w:rsidRPr="00046A85">
        <w:rPr>
          <w:sz w:val="24"/>
          <w:szCs w:val="24"/>
          <w:lang w:val="en-US"/>
        </w:rPr>
        <w:t>,</w:t>
      </w:r>
      <w:r w:rsidR="001D53F0" w:rsidRPr="00046A85">
        <w:rPr>
          <w:sz w:val="24"/>
          <w:szCs w:val="24"/>
          <w:lang w:val="en-US"/>
        </w:rPr>
        <w:t xml:space="preserve"> the number of taxes, the compliance to tax authorities, the frequency of payment and red tape in general heavily affect entrepreneurship. Furthermore, we should take into account some other negative effects of taxation on entrepreneurship that is the potential that legal economic activity decreases and illegal, shadow economy activities emerge.</w:t>
      </w:r>
    </w:p>
    <w:p w14:paraId="717F53ED" w14:textId="00EA9460" w:rsidR="001D53F0" w:rsidRPr="00046A85" w:rsidRDefault="001D53F0" w:rsidP="00046A85">
      <w:pPr>
        <w:spacing w:line="276" w:lineRule="auto"/>
        <w:ind w:firstLine="708"/>
        <w:jc w:val="both"/>
        <w:rPr>
          <w:sz w:val="24"/>
          <w:szCs w:val="24"/>
          <w:lang w:val="en-US"/>
        </w:rPr>
      </w:pPr>
      <w:r w:rsidRPr="00046A85">
        <w:rPr>
          <w:sz w:val="24"/>
          <w:szCs w:val="24"/>
          <w:lang w:val="en-US"/>
        </w:rPr>
        <w:t xml:space="preserve">Previous attempts to incorporate taxation into GEI were limited by poor data availability especially for lower developed countries. Moreover, taxation related variables correlated positively but weakly with the development measure per capita GDP. Below, we </w:t>
      </w:r>
      <w:r w:rsidRPr="00046A85">
        <w:rPr>
          <w:sz w:val="24"/>
          <w:szCs w:val="24"/>
          <w:lang w:val="en-US"/>
        </w:rPr>
        <w:lastRenderedPageBreak/>
        <w:t>provide the most important issues affecting the incorporation of taxation variable</w:t>
      </w:r>
      <w:r w:rsidR="000D1DF2" w:rsidRPr="00046A85">
        <w:rPr>
          <w:sz w:val="24"/>
          <w:szCs w:val="24"/>
          <w:lang w:val="en-US"/>
        </w:rPr>
        <w:t>s</w:t>
      </w:r>
      <w:r w:rsidRPr="00046A85">
        <w:rPr>
          <w:sz w:val="24"/>
          <w:szCs w:val="24"/>
          <w:lang w:val="en-US"/>
        </w:rPr>
        <w:t xml:space="preserve"> into the next version of GEI.</w:t>
      </w:r>
    </w:p>
    <w:p w14:paraId="3CC38E3A" w14:textId="0F86AC7F" w:rsidR="001D53F0" w:rsidRPr="00046A85" w:rsidRDefault="001D53F0" w:rsidP="00D1495F">
      <w:pPr>
        <w:spacing w:line="276" w:lineRule="auto"/>
        <w:ind w:firstLine="708"/>
        <w:jc w:val="both"/>
        <w:rPr>
          <w:sz w:val="24"/>
          <w:szCs w:val="24"/>
          <w:lang w:val="en-US"/>
        </w:rPr>
      </w:pPr>
      <w:r w:rsidRPr="00046A85">
        <w:rPr>
          <w:sz w:val="24"/>
          <w:szCs w:val="24"/>
          <w:lang w:val="en-US"/>
        </w:rPr>
        <w:t>First, most stud</w:t>
      </w:r>
      <w:r w:rsidR="00543B78" w:rsidRPr="00046A85">
        <w:rPr>
          <w:sz w:val="24"/>
          <w:szCs w:val="24"/>
          <w:lang w:val="en-US"/>
        </w:rPr>
        <w:t>ies</w:t>
      </w:r>
      <w:r w:rsidRPr="00046A85">
        <w:rPr>
          <w:sz w:val="24"/>
          <w:szCs w:val="24"/>
          <w:lang w:val="en-US"/>
        </w:rPr>
        <w:t xml:space="preserve"> examine the influence of</w:t>
      </w:r>
      <w:r w:rsidR="000D1DF2" w:rsidRPr="00046A85">
        <w:rPr>
          <w:sz w:val="24"/>
          <w:szCs w:val="24"/>
          <w:lang w:val="en-US"/>
        </w:rPr>
        <w:t xml:space="preserve"> the general level </w:t>
      </w:r>
      <w:r w:rsidR="003A6F49" w:rsidRPr="00046A85">
        <w:rPr>
          <w:sz w:val="24"/>
          <w:szCs w:val="24"/>
          <w:lang w:val="en-US"/>
        </w:rPr>
        <w:t>of taxation</w:t>
      </w:r>
      <w:r w:rsidRPr="00046A85">
        <w:rPr>
          <w:sz w:val="24"/>
          <w:szCs w:val="24"/>
          <w:lang w:val="en-US"/>
        </w:rPr>
        <w:t xml:space="preserve"> on entrepreneurial activity (Bruce and </w:t>
      </w:r>
      <w:proofErr w:type="spellStart"/>
      <w:r w:rsidRPr="00046A85">
        <w:rPr>
          <w:sz w:val="24"/>
          <w:szCs w:val="24"/>
          <w:lang w:val="en-US"/>
        </w:rPr>
        <w:t>Mohsin</w:t>
      </w:r>
      <w:proofErr w:type="spellEnd"/>
      <w:r w:rsidRPr="00046A85">
        <w:rPr>
          <w:sz w:val="24"/>
          <w:szCs w:val="24"/>
          <w:lang w:val="en-US"/>
        </w:rPr>
        <w:t xml:space="preserve"> 2006). It is well-known that the different elements of the NSE influence innovative, high growth potential ventures as compared to other startups based on non-innovative replicated business idea and minimum growth prospective in different ways. Here, we are interested in the high growth gazelles and do not benchmark business startups per se. Unfortunately, the connection between taxation and the other quality aspects of entrepreneurship like high growth, innovation, internationalization, have remained understudied (For exemptions see </w:t>
      </w:r>
      <w:proofErr w:type="spellStart"/>
      <w:r w:rsidRPr="00046A85">
        <w:rPr>
          <w:rFonts w:eastAsia="Times New Roman"/>
          <w:sz w:val="24"/>
          <w:szCs w:val="24"/>
          <w:lang w:eastAsia="hu-HU"/>
        </w:rPr>
        <w:t>Davidsson</w:t>
      </w:r>
      <w:proofErr w:type="spellEnd"/>
      <w:r w:rsidRPr="00046A85">
        <w:rPr>
          <w:rFonts w:eastAsia="Times New Roman"/>
          <w:sz w:val="24"/>
          <w:szCs w:val="24"/>
          <w:lang w:eastAsia="hu-HU"/>
        </w:rPr>
        <w:t xml:space="preserve"> and Henrekson 2002; Egger and </w:t>
      </w:r>
      <w:proofErr w:type="spellStart"/>
      <w:r w:rsidRPr="00046A85">
        <w:rPr>
          <w:rFonts w:eastAsia="Times New Roman"/>
          <w:sz w:val="24"/>
          <w:szCs w:val="24"/>
          <w:lang w:eastAsia="hu-HU"/>
        </w:rPr>
        <w:t>Loretz</w:t>
      </w:r>
      <w:proofErr w:type="spellEnd"/>
      <w:r w:rsidRPr="00046A85">
        <w:rPr>
          <w:rFonts w:eastAsia="Times New Roman"/>
          <w:sz w:val="24"/>
          <w:szCs w:val="24"/>
          <w:lang w:eastAsia="hu-HU"/>
        </w:rPr>
        <w:t xml:space="preserve"> 2010, </w:t>
      </w:r>
      <w:proofErr w:type="spellStart"/>
      <w:r w:rsidRPr="00046A85">
        <w:rPr>
          <w:rFonts w:eastAsia="Times New Roman"/>
          <w:sz w:val="24"/>
          <w:szCs w:val="24"/>
          <w:lang w:eastAsia="hu-HU"/>
        </w:rPr>
        <w:t>Haufler</w:t>
      </w:r>
      <w:proofErr w:type="spellEnd"/>
      <w:r w:rsidRPr="00046A85">
        <w:rPr>
          <w:rFonts w:eastAsia="Times New Roman"/>
          <w:sz w:val="24"/>
          <w:szCs w:val="24"/>
          <w:lang w:eastAsia="hu-HU"/>
        </w:rPr>
        <w:t xml:space="preserve"> et al 2014)</w:t>
      </w:r>
      <w:r w:rsidRPr="00046A85">
        <w:rPr>
          <w:sz w:val="24"/>
          <w:szCs w:val="24"/>
          <w:lang w:val="en-US"/>
        </w:rPr>
        <w:t xml:space="preserve">. </w:t>
      </w:r>
    </w:p>
    <w:p w14:paraId="35342CE6" w14:textId="0060C0B4" w:rsidR="001D53F0" w:rsidRPr="00046A85" w:rsidRDefault="001D53F0" w:rsidP="00D1495F">
      <w:pPr>
        <w:spacing w:line="276" w:lineRule="auto"/>
        <w:ind w:firstLine="708"/>
        <w:jc w:val="both"/>
        <w:rPr>
          <w:sz w:val="24"/>
          <w:szCs w:val="24"/>
          <w:lang w:val="en-US"/>
        </w:rPr>
      </w:pPr>
      <w:r w:rsidRPr="00046A85">
        <w:rPr>
          <w:sz w:val="24"/>
          <w:szCs w:val="24"/>
          <w:lang w:val="en-US"/>
        </w:rPr>
        <w:t xml:space="preserve">Second, it is well-known that there is a connection between taxation and the so called shadow economy. High tax rates hinder startups and increase the propensity to involve in the informal or illegal shadow economy (Gordon and Li 2009; </w:t>
      </w:r>
      <w:proofErr w:type="spellStart"/>
      <w:r w:rsidRPr="00046A85">
        <w:rPr>
          <w:sz w:val="24"/>
          <w:szCs w:val="24"/>
          <w:lang w:val="en-US"/>
        </w:rPr>
        <w:t>Munk</w:t>
      </w:r>
      <w:proofErr w:type="spellEnd"/>
      <w:r w:rsidRPr="00046A85">
        <w:rPr>
          <w:sz w:val="24"/>
          <w:szCs w:val="24"/>
          <w:lang w:val="en-US"/>
        </w:rPr>
        <w:t xml:space="preserve"> 2008). In addition, starting and operating a business in the legal sectors involves obeying to formal rules and regulations. This compliance could involve considerable cost and time from business owners. As a consequence, business startup rates are hindered or the business launches in the informal, illegal sector (Auriol 2013; </w:t>
      </w:r>
      <w:r w:rsidRPr="00046A85">
        <w:rPr>
          <w:rFonts w:eastAsia="Times New Roman"/>
          <w:sz w:val="24"/>
          <w:szCs w:val="24"/>
          <w:lang w:eastAsia="hu-HU"/>
        </w:rPr>
        <w:t>Davis and Henrekson 2004)</w:t>
      </w:r>
      <w:r w:rsidRPr="00046A85">
        <w:rPr>
          <w:sz w:val="24"/>
          <w:szCs w:val="24"/>
          <w:lang w:val="en-US"/>
        </w:rPr>
        <w:t xml:space="preserve">. </w:t>
      </w:r>
    </w:p>
    <w:p w14:paraId="2DAB47A0" w14:textId="115CD6C7" w:rsidR="001D53F0" w:rsidRPr="00046A85" w:rsidRDefault="001D53F0" w:rsidP="00D1495F">
      <w:pPr>
        <w:spacing w:line="276" w:lineRule="auto"/>
        <w:ind w:firstLine="708"/>
        <w:jc w:val="both"/>
        <w:rPr>
          <w:sz w:val="24"/>
          <w:szCs w:val="24"/>
          <w:lang w:val="en-US"/>
        </w:rPr>
      </w:pPr>
      <w:r w:rsidRPr="00046A85">
        <w:rPr>
          <w:sz w:val="24"/>
          <w:szCs w:val="24"/>
          <w:lang w:val="en-US"/>
        </w:rPr>
        <w:t>Third, taxation can have a different effect on the different stages of business life cycle. Here, we are interested mainly in startups and the financing of these startups. Since starting a business is highly risky the capital structure of these startups different from other established ventures (</w:t>
      </w:r>
      <w:proofErr w:type="spellStart"/>
      <w:r w:rsidRPr="00046A85">
        <w:rPr>
          <w:sz w:val="24"/>
          <w:szCs w:val="24"/>
          <w:lang w:val="en-US"/>
        </w:rPr>
        <w:t>Cassar</w:t>
      </w:r>
      <w:proofErr w:type="spellEnd"/>
      <w:r w:rsidRPr="00046A85">
        <w:rPr>
          <w:sz w:val="24"/>
          <w:szCs w:val="24"/>
          <w:lang w:val="en-US"/>
        </w:rPr>
        <w:t xml:space="preserve"> 2004</w:t>
      </w:r>
      <w:r w:rsidR="00C56841" w:rsidRPr="00046A85">
        <w:rPr>
          <w:sz w:val="24"/>
          <w:szCs w:val="24"/>
          <w:lang w:val="en-US"/>
        </w:rPr>
        <w:t>;</w:t>
      </w:r>
      <w:r w:rsidRPr="00046A85">
        <w:rPr>
          <w:sz w:val="24"/>
          <w:szCs w:val="24"/>
          <w:lang w:val="en-US"/>
        </w:rPr>
        <w:t xml:space="preserve"> Gregory et al 2005</w:t>
      </w:r>
      <w:r w:rsidR="00C56841" w:rsidRPr="00046A85">
        <w:rPr>
          <w:sz w:val="24"/>
          <w:szCs w:val="24"/>
          <w:lang w:val="en-US"/>
        </w:rPr>
        <w:t>;</w:t>
      </w:r>
      <w:r w:rsidRPr="00046A85">
        <w:rPr>
          <w:sz w:val="24"/>
          <w:szCs w:val="24"/>
          <w:lang w:val="en-US"/>
        </w:rPr>
        <w:t xml:space="preserve"> Robb and Robinson 2012</w:t>
      </w:r>
      <w:r w:rsidR="00C56841" w:rsidRPr="00046A85">
        <w:rPr>
          <w:sz w:val="24"/>
          <w:szCs w:val="24"/>
          <w:lang w:val="en-US"/>
        </w:rPr>
        <w:t xml:space="preserve">; Stam and </w:t>
      </w:r>
      <w:proofErr w:type="spellStart"/>
      <w:r w:rsidR="00C56841" w:rsidRPr="00046A85">
        <w:rPr>
          <w:sz w:val="24"/>
          <w:szCs w:val="24"/>
          <w:lang w:val="en-US"/>
        </w:rPr>
        <w:t>Verbeeten</w:t>
      </w:r>
      <w:proofErr w:type="spellEnd"/>
      <w:r w:rsidR="00C56841" w:rsidRPr="00046A85">
        <w:rPr>
          <w:sz w:val="24"/>
          <w:szCs w:val="24"/>
          <w:lang w:val="en-US"/>
        </w:rPr>
        <w:t xml:space="preserve"> 2016</w:t>
      </w:r>
      <w:r w:rsidRPr="00046A85">
        <w:rPr>
          <w:sz w:val="24"/>
          <w:szCs w:val="24"/>
          <w:lang w:val="en-US"/>
        </w:rPr>
        <w:t>). Besides usual business risk newly launched ventures are exposed to higher uncertainties and probability of failure mainly because the innovative business idea is unproven, the markets are unknown, and the startup business owners’ managerial skills are not proven (</w:t>
      </w:r>
      <w:r w:rsidRPr="00046A85">
        <w:rPr>
          <w:rFonts w:eastAsia="Times New Roman"/>
          <w:sz w:val="24"/>
          <w:szCs w:val="24"/>
          <w:lang w:eastAsia="hu-HU"/>
        </w:rPr>
        <w:t xml:space="preserve">Mann and </w:t>
      </w:r>
      <w:proofErr w:type="spellStart"/>
      <w:r w:rsidRPr="00046A85">
        <w:rPr>
          <w:rFonts w:eastAsia="Times New Roman"/>
          <w:sz w:val="24"/>
          <w:szCs w:val="24"/>
          <w:lang w:eastAsia="hu-HU"/>
        </w:rPr>
        <w:t>Sanyal</w:t>
      </w:r>
      <w:proofErr w:type="spellEnd"/>
      <w:r w:rsidRPr="00046A85">
        <w:rPr>
          <w:rFonts w:eastAsia="Times New Roman"/>
          <w:sz w:val="24"/>
          <w:szCs w:val="24"/>
          <w:lang w:eastAsia="hu-HU"/>
        </w:rPr>
        <w:t xml:space="preserve"> 2010)</w:t>
      </w:r>
      <w:r w:rsidRPr="00046A85">
        <w:rPr>
          <w:sz w:val="24"/>
          <w:szCs w:val="24"/>
          <w:lang w:val="en-US"/>
        </w:rPr>
        <w:t>. Financing these startups from outside sources raises additional problems of information asymmetries and associated moral hazard problems (</w:t>
      </w:r>
      <w:proofErr w:type="spellStart"/>
      <w:r w:rsidRPr="00046A85">
        <w:rPr>
          <w:sz w:val="24"/>
          <w:szCs w:val="24"/>
          <w:lang w:val="en-US"/>
        </w:rPr>
        <w:t>Nofsinger</w:t>
      </w:r>
      <w:proofErr w:type="spellEnd"/>
      <w:r w:rsidRPr="00046A85">
        <w:rPr>
          <w:sz w:val="24"/>
          <w:szCs w:val="24"/>
          <w:lang w:val="en-US"/>
        </w:rPr>
        <w:t xml:space="preserve"> and Wang 2011). Hence, self-finance from the founders constitutes a lions-share in the financial sources of startups. Financial constraints are found to be a major obstacle of business startup and the success of startup (Kerr and Nanda 2011). In this case taxation can have two indirect effects on startups by (1) influencing the wealth accumulated by potential founders and </w:t>
      </w:r>
      <w:r w:rsidR="00153215" w:rsidRPr="00046A85">
        <w:rPr>
          <w:sz w:val="24"/>
          <w:szCs w:val="24"/>
          <w:lang w:val="en-US"/>
        </w:rPr>
        <w:t xml:space="preserve">their financiers from the private sector </w:t>
      </w:r>
      <w:r w:rsidRPr="00046A85">
        <w:rPr>
          <w:sz w:val="24"/>
          <w:szCs w:val="24"/>
          <w:lang w:val="en-US"/>
        </w:rPr>
        <w:t>(2) providing tax incentives to ease the liquidity constraints of startups.</w:t>
      </w:r>
    </w:p>
    <w:p w14:paraId="1EE79753" w14:textId="2ECA93A6" w:rsidR="001D53F0" w:rsidRPr="00046A85" w:rsidRDefault="001D53F0" w:rsidP="00D1495F">
      <w:pPr>
        <w:spacing w:line="276" w:lineRule="auto"/>
        <w:ind w:firstLine="708"/>
        <w:jc w:val="both"/>
        <w:rPr>
          <w:sz w:val="24"/>
          <w:szCs w:val="24"/>
          <w:lang w:val="en-US"/>
        </w:rPr>
      </w:pPr>
      <w:r w:rsidRPr="00046A85">
        <w:rPr>
          <w:sz w:val="24"/>
          <w:szCs w:val="24"/>
          <w:lang w:val="en-US"/>
        </w:rPr>
        <w:t xml:space="preserve">Fourth, numerous taxes influence the various aspects of entrepreneurship in different ways and different degrees.  These effects are very complex and difficult to measure: Some of them have direct and others have indirect, leveraged influence. Henrekson and </w:t>
      </w:r>
      <w:proofErr w:type="spellStart"/>
      <w:r w:rsidRPr="00046A85">
        <w:rPr>
          <w:sz w:val="24"/>
          <w:szCs w:val="24"/>
          <w:lang w:val="en-US"/>
        </w:rPr>
        <w:t>Jansson</w:t>
      </w:r>
      <w:proofErr w:type="spellEnd"/>
      <w:r w:rsidRPr="00046A85">
        <w:rPr>
          <w:sz w:val="24"/>
          <w:szCs w:val="24"/>
          <w:lang w:val="en-US"/>
        </w:rPr>
        <w:t xml:space="preserve"> (2008) examined the influence of different taxes on the incentives to set up high growth potential startups. While high taxes levied on labor income, corporate profit, capital gains, stock market options, savings, or asset holdings </w:t>
      </w:r>
      <w:r w:rsidR="00153215" w:rsidRPr="00046A85">
        <w:rPr>
          <w:sz w:val="24"/>
          <w:szCs w:val="24"/>
          <w:lang w:val="en-US"/>
        </w:rPr>
        <w:t>are</w:t>
      </w:r>
      <w:r w:rsidRPr="00046A85">
        <w:rPr>
          <w:sz w:val="24"/>
          <w:szCs w:val="24"/>
          <w:lang w:val="en-US"/>
        </w:rPr>
        <w:t xml:space="preserve"> found to </w:t>
      </w:r>
      <w:r w:rsidR="00153215" w:rsidRPr="00046A85">
        <w:rPr>
          <w:sz w:val="24"/>
          <w:szCs w:val="24"/>
          <w:lang w:val="en-US"/>
        </w:rPr>
        <w:t xml:space="preserve">negatively </w:t>
      </w:r>
      <w:r w:rsidRPr="00046A85">
        <w:rPr>
          <w:sz w:val="24"/>
          <w:szCs w:val="24"/>
          <w:lang w:val="en-US"/>
        </w:rPr>
        <w:t>influence selection</w:t>
      </w:r>
      <w:r w:rsidR="00153215" w:rsidRPr="00046A85">
        <w:rPr>
          <w:sz w:val="24"/>
          <w:szCs w:val="24"/>
          <w:lang w:val="en-US"/>
        </w:rPr>
        <w:t xml:space="preserve"> into self-employment</w:t>
      </w:r>
      <w:r w:rsidRPr="00046A85">
        <w:rPr>
          <w:sz w:val="24"/>
          <w:szCs w:val="24"/>
          <w:lang w:val="en-US"/>
        </w:rPr>
        <w:t xml:space="preserve">, the overall effect on those who plan high growth startups is mixed. The practical operation of the taxation system, the rules of exemptions </w:t>
      </w:r>
      <w:r w:rsidRPr="00046A85">
        <w:rPr>
          <w:sz w:val="24"/>
          <w:szCs w:val="24"/>
          <w:lang w:val="en-US"/>
        </w:rPr>
        <w:lastRenderedPageBreak/>
        <w:t xml:space="preserve">and provisions make it difficult to identify the ultimate effect of taxation and provide solid cross country comparison. </w:t>
      </w:r>
    </w:p>
    <w:p w14:paraId="35A50898" w14:textId="5907CD25" w:rsidR="001D53F0" w:rsidRPr="00046A85" w:rsidRDefault="001D53F0" w:rsidP="00D1495F">
      <w:pPr>
        <w:spacing w:line="276" w:lineRule="auto"/>
        <w:ind w:firstLine="708"/>
        <w:jc w:val="both"/>
        <w:rPr>
          <w:sz w:val="24"/>
          <w:szCs w:val="24"/>
          <w:lang w:val="en-US"/>
        </w:rPr>
      </w:pPr>
      <w:r w:rsidRPr="00046A85">
        <w:rPr>
          <w:sz w:val="24"/>
          <w:szCs w:val="24"/>
          <w:lang w:val="en-US"/>
        </w:rPr>
        <w:t xml:space="preserve">Zero tax rates cannot be optimal since public services must be financed somehow. </w:t>
      </w:r>
    </w:p>
    <w:p w14:paraId="2E1159BE" w14:textId="3DAB4337" w:rsidR="001D53F0" w:rsidRPr="00046A85" w:rsidRDefault="001D53F0" w:rsidP="00D1495F">
      <w:pPr>
        <w:spacing w:line="276" w:lineRule="auto"/>
        <w:jc w:val="both"/>
        <w:rPr>
          <w:sz w:val="24"/>
          <w:szCs w:val="24"/>
          <w:lang w:val="en-US"/>
        </w:rPr>
      </w:pPr>
      <w:r w:rsidRPr="00046A85">
        <w:rPr>
          <w:sz w:val="24"/>
          <w:szCs w:val="24"/>
          <w:lang w:val="en-US"/>
        </w:rPr>
        <w:t>Altogether, building taxation related variable or variables into GEI would be a difficult task. Based on the literature survey we should ta</w:t>
      </w:r>
      <w:r w:rsidR="008E5E3F" w:rsidRPr="00046A85">
        <w:rPr>
          <w:sz w:val="24"/>
          <w:szCs w:val="24"/>
          <w:lang w:val="en-US"/>
        </w:rPr>
        <w:t xml:space="preserve">ke into account the followings: </w:t>
      </w:r>
      <w:r w:rsidRPr="00046A85">
        <w:rPr>
          <w:sz w:val="24"/>
          <w:szCs w:val="24"/>
          <w:lang w:val="en-US"/>
        </w:rPr>
        <w:t>We should apply a complex taxation variable that contains the overall tax rate but also reflect to the administrative costs. The PWC and World Bank common project paying taxes project makes it possible to collect these variables (Paying Taxes 2015)</w:t>
      </w:r>
      <w:r w:rsidR="008E5E3F" w:rsidRPr="00046A85">
        <w:rPr>
          <w:sz w:val="24"/>
          <w:szCs w:val="24"/>
          <w:lang w:val="en-US"/>
        </w:rPr>
        <w:t>.</w:t>
      </w:r>
    </w:p>
    <w:p w14:paraId="6330D70E" w14:textId="77777777" w:rsidR="008E5E3F" w:rsidRPr="00046A85" w:rsidRDefault="008E5E3F" w:rsidP="00D1495F">
      <w:pPr>
        <w:pStyle w:val="ListParagraph"/>
        <w:numPr>
          <w:ilvl w:val="0"/>
          <w:numId w:val="21"/>
        </w:numPr>
        <w:spacing w:line="276" w:lineRule="auto"/>
        <w:jc w:val="both"/>
        <w:rPr>
          <w:sz w:val="24"/>
          <w:szCs w:val="24"/>
          <w:lang w:val="en-US"/>
        </w:rPr>
      </w:pPr>
      <w:r w:rsidRPr="00046A85">
        <w:rPr>
          <w:sz w:val="24"/>
          <w:szCs w:val="24"/>
          <w:lang w:val="en-US"/>
        </w:rPr>
        <w:t xml:space="preserve">We will include a measure of taxes in Pillar 6 Opportunity Startups that includes a measure of taxation multiplied by government efficiency. </w:t>
      </w:r>
    </w:p>
    <w:p w14:paraId="02391C48" w14:textId="77777777" w:rsidR="008E5E3F" w:rsidRPr="00046A85" w:rsidRDefault="008E5E3F" w:rsidP="00D1495F">
      <w:pPr>
        <w:pStyle w:val="ListParagraph"/>
        <w:numPr>
          <w:ilvl w:val="0"/>
          <w:numId w:val="21"/>
        </w:numPr>
        <w:spacing w:line="276" w:lineRule="auto"/>
        <w:jc w:val="both"/>
        <w:rPr>
          <w:sz w:val="24"/>
          <w:szCs w:val="24"/>
          <w:lang w:val="en-US"/>
        </w:rPr>
      </w:pPr>
      <w:r w:rsidRPr="00046A85">
        <w:rPr>
          <w:sz w:val="24"/>
          <w:szCs w:val="24"/>
          <w:lang w:val="en-US"/>
        </w:rPr>
        <w:t xml:space="preserve">We will more economic freedom to Pillar 1 Opportunity Recognition. </w:t>
      </w:r>
    </w:p>
    <w:p w14:paraId="7B3F123A" w14:textId="63FE9B52" w:rsidR="008E5E3F" w:rsidRPr="00046A85" w:rsidRDefault="008E5E3F" w:rsidP="00D1495F">
      <w:pPr>
        <w:pStyle w:val="ListParagraph"/>
        <w:numPr>
          <w:ilvl w:val="0"/>
          <w:numId w:val="21"/>
        </w:numPr>
        <w:spacing w:line="276" w:lineRule="auto"/>
        <w:jc w:val="both"/>
        <w:rPr>
          <w:sz w:val="24"/>
          <w:szCs w:val="24"/>
          <w:lang w:val="en-US"/>
        </w:rPr>
      </w:pPr>
      <w:r w:rsidRPr="00046A85">
        <w:rPr>
          <w:sz w:val="24"/>
          <w:szCs w:val="24"/>
          <w:lang w:val="en-US"/>
        </w:rPr>
        <w:t xml:space="preserve">We will drop both the country size and agglomeration variables.   </w:t>
      </w:r>
    </w:p>
    <w:p w14:paraId="29099F6C" w14:textId="35CEFE80" w:rsidR="00FA5345" w:rsidRDefault="00FA5345" w:rsidP="00D1495F">
      <w:pPr>
        <w:pStyle w:val="Heading2"/>
        <w:spacing w:before="200"/>
        <w:jc w:val="both"/>
      </w:pPr>
      <w:bookmarkStart w:id="30" w:name="_Toc447096853"/>
      <w:r>
        <w:t>5.4 Knowledge Institutions</w:t>
      </w:r>
      <w:bookmarkEnd w:id="30"/>
    </w:p>
    <w:p w14:paraId="7BD1D6F6" w14:textId="27384CB9" w:rsidR="00456AEC" w:rsidRPr="00D1495F" w:rsidRDefault="00230E22" w:rsidP="00D1495F">
      <w:pPr>
        <w:spacing w:line="276" w:lineRule="auto"/>
        <w:jc w:val="both"/>
        <w:rPr>
          <w:sz w:val="24"/>
          <w:szCs w:val="24"/>
        </w:rPr>
      </w:pPr>
      <w:r w:rsidRPr="00D1495F">
        <w:rPr>
          <w:sz w:val="24"/>
          <w:szCs w:val="24"/>
        </w:rPr>
        <w:t>Knowledge institutions are about those institutions that are involved in the creation of knowledge</w:t>
      </w:r>
      <w:r w:rsidR="00054547" w:rsidRPr="00D1495F">
        <w:rPr>
          <w:sz w:val="24"/>
          <w:szCs w:val="24"/>
        </w:rPr>
        <w:t xml:space="preserve"> (basic, applied and developmental)</w:t>
      </w:r>
      <w:r w:rsidRPr="00D1495F">
        <w:rPr>
          <w:sz w:val="24"/>
          <w:szCs w:val="24"/>
        </w:rPr>
        <w:t>, t</w:t>
      </w:r>
      <w:r w:rsidR="00054547" w:rsidRPr="00D1495F">
        <w:rPr>
          <w:sz w:val="24"/>
          <w:szCs w:val="24"/>
        </w:rPr>
        <w:t xml:space="preserve">he transfer of knowledge and the diffusion of knowledge. In the GEI set up we include both the creation of knowledge through the research and development and the transfer of knowledge through the universities and other institutions. We also focus on the role of technology absorption as well as the development of new technologies through high growth firms.  So in </w:t>
      </w:r>
      <w:r w:rsidR="00F026D2" w:rsidRPr="00D1495F">
        <w:rPr>
          <w:sz w:val="24"/>
          <w:szCs w:val="24"/>
        </w:rPr>
        <w:t xml:space="preserve">sum </w:t>
      </w:r>
      <w:r w:rsidR="00054547" w:rsidRPr="00D1495F">
        <w:rPr>
          <w:sz w:val="24"/>
          <w:szCs w:val="24"/>
        </w:rPr>
        <w:t>the topic is rather well covered in the GEI. What are not covered are the diffusion of knowledge and the role that digital technologies play in this process as well as the role of digital technology itself in entrepreneurship both as cause and as an effect.</w:t>
      </w:r>
    </w:p>
    <w:p w14:paraId="420BAF10" w14:textId="41C1E750" w:rsidR="004F088A" w:rsidRPr="00D1495F" w:rsidRDefault="004F088A" w:rsidP="00D1495F">
      <w:pPr>
        <w:spacing w:line="276" w:lineRule="auto"/>
        <w:jc w:val="both"/>
        <w:rPr>
          <w:sz w:val="24"/>
          <w:szCs w:val="24"/>
        </w:rPr>
      </w:pPr>
      <w:r w:rsidRPr="00D1495F">
        <w:rPr>
          <w:sz w:val="24"/>
          <w:szCs w:val="24"/>
        </w:rPr>
        <w:tab/>
        <w:t>To better measure education we will do the following.</w:t>
      </w:r>
    </w:p>
    <w:p w14:paraId="5547E250" w14:textId="19430127" w:rsidR="004F088A" w:rsidRPr="00D1495F" w:rsidRDefault="004F088A" w:rsidP="00D1495F">
      <w:pPr>
        <w:pStyle w:val="ListParagraph"/>
        <w:numPr>
          <w:ilvl w:val="0"/>
          <w:numId w:val="22"/>
        </w:numPr>
        <w:spacing w:line="276" w:lineRule="auto"/>
        <w:jc w:val="both"/>
        <w:rPr>
          <w:sz w:val="24"/>
          <w:szCs w:val="24"/>
        </w:rPr>
      </w:pPr>
      <w:r w:rsidRPr="00D1495F">
        <w:rPr>
          <w:sz w:val="24"/>
          <w:szCs w:val="24"/>
        </w:rPr>
        <w:t xml:space="preserve">In Pillar 2 Start-up Skills we will replace </w:t>
      </w:r>
      <w:r w:rsidR="0071276F" w:rsidRPr="00D1495F">
        <w:rPr>
          <w:sz w:val="24"/>
          <w:szCs w:val="24"/>
        </w:rPr>
        <w:t xml:space="preserve">or add </w:t>
      </w:r>
      <w:r w:rsidRPr="00D1495F">
        <w:rPr>
          <w:sz w:val="24"/>
          <w:szCs w:val="24"/>
        </w:rPr>
        <w:t>secondary education with a measure of the quality of management education.</w:t>
      </w:r>
    </w:p>
    <w:p w14:paraId="18BB160E" w14:textId="6AD7AA79" w:rsidR="004F088A" w:rsidRPr="00D1495F" w:rsidRDefault="004F088A" w:rsidP="00D1495F">
      <w:pPr>
        <w:pStyle w:val="ListParagraph"/>
        <w:numPr>
          <w:ilvl w:val="0"/>
          <w:numId w:val="22"/>
        </w:numPr>
        <w:spacing w:line="276" w:lineRule="auto"/>
        <w:jc w:val="both"/>
        <w:rPr>
          <w:sz w:val="24"/>
          <w:szCs w:val="24"/>
        </w:rPr>
      </w:pPr>
      <w:r w:rsidRPr="00D1495F">
        <w:rPr>
          <w:sz w:val="24"/>
          <w:szCs w:val="24"/>
        </w:rPr>
        <w:t>We may also include some measure of expenditures on education.</w:t>
      </w:r>
    </w:p>
    <w:p w14:paraId="5C49CB03" w14:textId="02E9513D" w:rsidR="004F088A" w:rsidRPr="00D1495F" w:rsidRDefault="004F088A" w:rsidP="00D1495F">
      <w:pPr>
        <w:pStyle w:val="ListParagraph"/>
        <w:numPr>
          <w:ilvl w:val="0"/>
          <w:numId w:val="22"/>
        </w:numPr>
        <w:spacing w:line="276" w:lineRule="auto"/>
        <w:jc w:val="both"/>
        <w:rPr>
          <w:sz w:val="24"/>
          <w:szCs w:val="24"/>
        </w:rPr>
      </w:pPr>
      <w:r w:rsidRPr="00D1495F">
        <w:rPr>
          <w:sz w:val="24"/>
          <w:szCs w:val="24"/>
        </w:rPr>
        <w:t>On Pillar 13 Internationalization we will replace the globalization pillar with a measure of Complexity.</w:t>
      </w:r>
    </w:p>
    <w:p w14:paraId="1FC488FA" w14:textId="77777777" w:rsidR="00A87255" w:rsidRPr="00D1495F" w:rsidRDefault="00A87255" w:rsidP="00D1495F">
      <w:pPr>
        <w:pStyle w:val="NoSpacing"/>
        <w:spacing w:line="276" w:lineRule="auto"/>
        <w:jc w:val="both"/>
        <w:rPr>
          <w:i/>
          <w:sz w:val="24"/>
          <w:szCs w:val="24"/>
          <w:lang w:val="en-GB"/>
        </w:rPr>
      </w:pPr>
      <w:r w:rsidRPr="00D1495F">
        <w:rPr>
          <w:i/>
          <w:sz w:val="24"/>
          <w:szCs w:val="24"/>
          <w:lang w:val="en-GB"/>
        </w:rPr>
        <w:t>For Knowledge institutions</w:t>
      </w:r>
    </w:p>
    <w:p w14:paraId="51C7B4B0" w14:textId="77777777" w:rsidR="00A87255" w:rsidRPr="00D1495F" w:rsidRDefault="00A87255" w:rsidP="00D1495F">
      <w:pPr>
        <w:pStyle w:val="NoSpacing"/>
        <w:numPr>
          <w:ilvl w:val="0"/>
          <w:numId w:val="20"/>
        </w:numPr>
        <w:spacing w:line="276" w:lineRule="auto"/>
        <w:jc w:val="both"/>
        <w:rPr>
          <w:sz w:val="24"/>
          <w:szCs w:val="24"/>
          <w:lang w:val="en-GB"/>
        </w:rPr>
      </w:pPr>
      <w:r w:rsidRPr="00D1495F">
        <w:rPr>
          <w:sz w:val="24"/>
          <w:szCs w:val="24"/>
          <w:lang w:val="en-GB"/>
        </w:rPr>
        <w:t>Quality of management schools – categorical indicator of Global Competitiveness Index; it measures the quality of business schools [1 = extremely poor—among the worst in the world; 7 = excellent—among the best in the world]; data are av. from 2006 to 2016</w:t>
      </w:r>
    </w:p>
    <w:p w14:paraId="3D7C625C" w14:textId="77777777" w:rsidR="00A87255" w:rsidRPr="00D1495F" w:rsidRDefault="00A87255" w:rsidP="00D1495F">
      <w:pPr>
        <w:pStyle w:val="NoSpacing"/>
        <w:numPr>
          <w:ilvl w:val="0"/>
          <w:numId w:val="20"/>
        </w:numPr>
        <w:spacing w:line="276" w:lineRule="auto"/>
        <w:jc w:val="both"/>
        <w:rPr>
          <w:sz w:val="24"/>
          <w:szCs w:val="24"/>
          <w:lang w:val="en-GB"/>
        </w:rPr>
      </w:pPr>
      <w:r w:rsidRPr="00D1495F">
        <w:rPr>
          <w:sz w:val="24"/>
          <w:szCs w:val="24"/>
          <w:lang w:val="en-GB"/>
        </w:rPr>
        <w:t>Expenditure on education as % of total government expenditure – UN Statistics Data; data availability is relatively different among countries</w:t>
      </w:r>
    </w:p>
    <w:p w14:paraId="3D4998BA" w14:textId="2FEC20B3" w:rsidR="00624B72" w:rsidRDefault="00624B72" w:rsidP="00D1495F">
      <w:pPr>
        <w:pStyle w:val="Heading2"/>
        <w:spacing w:before="200"/>
        <w:jc w:val="both"/>
      </w:pPr>
      <w:bookmarkStart w:id="31" w:name="_Toc447096854"/>
      <w:r>
        <w:t>5.5 A Summary of what we have proposed</w:t>
      </w:r>
      <w:bookmarkEnd w:id="31"/>
    </w:p>
    <w:p w14:paraId="6DAEB182" w14:textId="26774CFC" w:rsidR="004F088A" w:rsidRPr="00D1495F" w:rsidRDefault="004E717D" w:rsidP="008446DF">
      <w:pPr>
        <w:pStyle w:val="ListParagraph"/>
        <w:numPr>
          <w:ilvl w:val="0"/>
          <w:numId w:val="23"/>
        </w:numPr>
        <w:spacing w:line="276" w:lineRule="auto"/>
        <w:jc w:val="both"/>
        <w:rPr>
          <w:rFonts w:cstheme="minorHAnsi"/>
          <w:sz w:val="24"/>
          <w:szCs w:val="24"/>
        </w:rPr>
      </w:pPr>
      <w:r w:rsidRPr="00D1495F">
        <w:rPr>
          <w:rFonts w:cstheme="minorHAnsi"/>
          <w:b/>
          <w:sz w:val="24"/>
          <w:szCs w:val="24"/>
        </w:rPr>
        <w:t>Opportunity</w:t>
      </w:r>
      <w:r w:rsidR="0030451C" w:rsidRPr="00D1495F">
        <w:rPr>
          <w:rFonts w:cstheme="minorHAnsi"/>
          <w:b/>
          <w:sz w:val="24"/>
          <w:szCs w:val="24"/>
        </w:rPr>
        <w:t xml:space="preserve"> recognition</w:t>
      </w:r>
      <w:r w:rsidR="001B0450" w:rsidRPr="00D1495F">
        <w:rPr>
          <w:rFonts w:cstheme="minorHAnsi"/>
          <w:sz w:val="24"/>
          <w:szCs w:val="24"/>
        </w:rPr>
        <w:t>:</w:t>
      </w:r>
      <w:r w:rsidR="0030451C" w:rsidRPr="00D1495F">
        <w:rPr>
          <w:rFonts w:cstheme="minorHAnsi"/>
          <w:sz w:val="24"/>
          <w:szCs w:val="24"/>
        </w:rPr>
        <w:t xml:space="preserve"> </w:t>
      </w:r>
      <w:r w:rsidR="004F088A" w:rsidRPr="00D1495F">
        <w:rPr>
          <w:rFonts w:cstheme="minorHAnsi"/>
          <w:sz w:val="24"/>
          <w:szCs w:val="24"/>
        </w:rPr>
        <w:t xml:space="preserve">Replace size of country and </w:t>
      </w:r>
      <w:r w:rsidR="0030451C" w:rsidRPr="00D1495F">
        <w:rPr>
          <w:rFonts w:cstheme="minorHAnsi"/>
          <w:sz w:val="24"/>
          <w:szCs w:val="24"/>
        </w:rPr>
        <w:t>agglomerations of economic activity</w:t>
      </w:r>
      <w:r w:rsidR="004F088A" w:rsidRPr="00D1495F">
        <w:rPr>
          <w:rFonts w:cstheme="minorHAnsi"/>
          <w:sz w:val="24"/>
          <w:szCs w:val="24"/>
        </w:rPr>
        <w:t xml:space="preserve"> with economic freedom</w:t>
      </w:r>
      <w:r w:rsidR="0030451C" w:rsidRPr="00D1495F">
        <w:rPr>
          <w:rFonts w:cstheme="minorHAnsi"/>
          <w:sz w:val="24"/>
          <w:szCs w:val="24"/>
        </w:rPr>
        <w:t xml:space="preserve">. </w:t>
      </w:r>
    </w:p>
    <w:p w14:paraId="2BFF48E0" w14:textId="3FD48377" w:rsidR="001B0450" w:rsidRPr="00D1495F" w:rsidRDefault="001B0450" w:rsidP="008446DF">
      <w:pPr>
        <w:pStyle w:val="ListParagraph"/>
        <w:numPr>
          <w:ilvl w:val="0"/>
          <w:numId w:val="23"/>
        </w:numPr>
        <w:spacing w:line="276" w:lineRule="auto"/>
        <w:jc w:val="both"/>
        <w:rPr>
          <w:rFonts w:cstheme="minorHAnsi"/>
          <w:sz w:val="24"/>
          <w:szCs w:val="24"/>
        </w:rPr>
      </w:pPr>
      <w:r w:rsidRPr="00D1495F">
        <w:rPr>
          <w:rFonts w:cstheme="minorHAnsi"/>
          <w:b/>
          <w:sz w:val="24"/>
          <w:szCs w:val="24"/>
        </w:rPr>
        <w:t>S</w:t>
      </w:r>
      <w:r w:rsidR="004F088A" w:rsidRPr="00D1495F">
        <w:rPr>
          <w:rFonts w:cstheme="minorHAnsi"/>
          <w:b/>
          <w:sz w:val="24"/>
          <w:szCs w:val="24"/>
        </w:rPr>
        <w:t>t</w:t>
      </w:r>
      <w:r w:rsidR="0030451C" w:rsidRPr="00D1495F">
        <w:rPr>
          <w:rFonts w:cstheme="minorHAnsi"/>
          <w:b/>
          <w:sz w:val="24"/>
          <w:szCs w:val="24"/>
        </w:rPr>
        <w:t>art</w:t>
      </w:r>
      <w:r w:rsidRPr="00D1495F">
        <w:rPr>
          <w:rFonts w:cstheme="minorHAnsi"/>
          <w:b/>
          <w:sz w:val="24"/>
          <w:szCs w:val="24"/>
        </w:rPr>
        <w:t>-</w:t>
      </w:r>
      <w:r w:rsidR="0030451C" w:rsidRPr="00D1495F">
        <w:rPr>
          <w:rFonts w:cstheme="minorHAnsi"/>
          <w:b/>
          <w:sz w:val="24"/>
          <w:szCs w:val="24"/>
        </w:rPr>
        <w:t>up skills</w:t>
      </w:r>
      <w:r w:rsidRPr="00D1495F">
        <w:rPr>
          <w:rFonts w:cstheme="minorHAnsi"/>
          <w:sz w:val="24"/>
          <w:szCs w:val="24"/>
        </w:rPr>
        <w:t>:</w:t>
      </w:r>
      <w:r w:rsidR="0030451C" w:rsidRPr="00D1495F">
        <w:rPr>
          <w:rFonts w:cstheme="minorHAnsi"/>
          <w:sz w:val="24"/>
          <w:szCs w:val="24"/>
        </w:rPr>
        <w:t xml:space="preserve"> </w:t>
      </w:r>
      <w:r w:rsidRPr="00D1495F">
        <w:rPr>
          <w:rFonts w:cstheme="minorHAnsi"/>
          <w:sz w:val="24"/>
          <w:szCs w:val="24"/>
        </w:rPr>
        <w:t>Replace secondary</w:t>
      </w:r>
      <w:r w:rsidR="0030451C" w:rsidRPr="00D1495F">
        <w:rPr>
          <w:rFonts w:cstheme="minorHAnsi"/>
          <w:sz w:val="24"/>
          <w:szCs w:val="24"/>
        </w:rPr>
        <w:t xml:space="preserve"> education</w:t>
      </w:r>
      <w:r w:rsidRPr="00D1495F">
        <w:rPr>
          <w:rFonts w:cstheme="minorHAnsi"/>
          <w:sz w:val="24"/>
          <w:szCs w:val="24"/>
        </w:rPr>
        <w:t xml:space="preserve"> with quality of management education</w:t>
      </w:r>
      <w:r w:rsidR="0030451C" w:rsidRPr="00D1495F">
        <w:rPr>
          <w:rFonts w:cstheme="minorHAnsi"/>
          <w:sz w:val="24"/>
          <w:szCs w:val="24"/>
        </w:rPr>
        <w:t xml:space="preserve">. </w:t>
      </w:r>
    </w:p>
    <w:p w14:paraId="6F3D6B77" w14:textId="43255F32" w:rsidR="001B0450" w:rsidRPr="00D1495F" w:rsidRDefault="0030451C" w:rsidP="008446DF">
      <w:pPr>
        <w:pStyle w:val="ListParagraph"/>
        <w:numPr>
          <w:ilvl w:val="0"/>
          <w:numId w:val="23"/>
        </w:numPr>
        <w:spacing w:line="276" w:lineRule="auto"/>
        <w:jc w:val="both"/>
        <w:rPr>
          <w:rFonts w:cstheme="minorHAnsi"/>
          <w:sz w:val="24"/>
          <w:szCs w:val="24"/>
        </w:rPr>
      </w:pPr>
      <w:r w:rsidRPr="00D1495F">
        <w:rPr>
          <w:rFonts w:cstheme="minorHAnsi"/>
          <w:sz w:val="24"/>
          <w:szCs w:val="24"/>
        </w:rPr>
        <w:lastRenderedPageBreak/>
        <w:t xml:space="preserve"> </w:t>
      </w:r>
      <w:r w:rsidR="004E717D" w:rsidRPr="00D1495F">
        <w:rPr>
          <w:rFonts w:cstheme="minorHAnsi"/>
          <w:b/>
          <w:sz w:val="24"/>
          <w:szCs w:val="24"/>
        </w:rPr>
        <w:t>Risk</w:t>
      </w:r>
      <w:r w:rsidRPr="00D1495F">
        <w:rPr>
          <w:rFonts w:cstheme="minorHAnsi"/>
          <w:b/>
          <w:sz w:val="24"/>
          <w:szCs w:val="24"/>
        </w:rPr>
        <w:t xml:space="preserve"> acceptance</w:t>
      </w:r>
      <w:r w:rsidR="001B0450" w:rsidRPr="00D1495F">
        <w:rPr>
          <w:rFonts w:cstheme="minorHAnsi"/>
          <w:sz w:val="24"/>
          <w:szCs w:val="24"/>
        </w:rPr>
        <w:t>:</w:t>
      </w:r>
      <w:r w:rsidRPr="00D1495F">
        <w:rPr>
          <w:rFonts w:cstheme="minorHAnsi"/>
          <w:sz w:val="24"/>
          <w:szCs w:val="24"/>
        </w:rPr>
        <w:t xml:space="preserve"> The institutional variable is business risk. This variable could be updated to an OECD measure of risk perception. </w:t>
      </w:r>
    </w:p>
    <w:p w14:paraId="3DC811A8" w14:textId="29CE3C1A" w:rsidR="001B0450" w:rsidRPr="00D1495F" w:rsidRDefault="004E717D" w:rsidP="008446DF">
      <w:pPr>
        <w:pStyle w:val="ListParagraph"/>
        <w:numPr>
          <w:ilvl w:val="0"/>
          <w:numId w:val="23"/>
        </w:numPr>
        <w:spacing w:line="276" w:lineRule="auto"/>
        <w:jc w:val="both"/>
        <w:rPr>
          <w:rFonts w:cstheme="minorHAnsi"/>
          <w:sz w:val="24"/>
          <w:szCs w:val="24"/>
        </w:rPr>
      </w:pPr>
      <w:r w:rsidRPr="00D1495F">
        <w:rPr>
          <w:rFonts w:cstheme="minorHAnsi"/>
          <w:b/>
          <w:sz w:val="24"/>
          <w:szCs w:val="24"/>
        </w:rPr>
        <w:t>Networking</w:t>
      </w:r>
      <w:r w:rsidR="001B0450" w:rsidRPr="00D1495F">
        <w:rPr>
          <w:rFonts w:cstheme="minorHAnsi"/>
          <w:b/>
          <w:sz w:val="24"/>
          <w:szCs w:val="24"/>
        </w:rPr>
        <w:t>:</w:t>
      </w:r>
      <w:r w:rsidR="0030451C" w:rsidRPr="00D1495F">
        <w:rPr>
          <w:rFonts w:cstheme="minorHAnsi"/>
          <w:sz w:val="24"/>
          <w:szCs w:val="24"/>
        </w:rPr>
        <w:t xml:space="preserve"> </w:t>
      </w:r>
      <w:r w:rsidR="001B0450" w:rsidRPr="00D1495F">
        <w:rPr>
          <w:rFonts w:cstheme="minorHAnsi"/>
          <w:sz w:val="24"/>
          <w:szCs w:val="24"/>
        </w:rPr>
        <w:t xml:space="preserve"> Replace</w:t>
      </w:r>
      <w:r w:rsidR="0030451C" w:rsidRPr="00D1495F">
        <w:rPr>
          <w:rFonts w:cstheme="minorHAnsi"/>
          <w:sz w:val="24"/>
          <w:szCs w:val="24"/>
        </w:rPr>
        <w:t xml:space="preserve"> internet usage</w:t>
      </w:r>
      <w:r w:rsidR="001B0450" w:rsidRPr="00D1495F">
        <w:rPr>
          <w:rFonts w:cstheme="minorHAnsi"/>
          <w:sz w:val="24"/>
          <w:szCs w:val="24"/>
        </w:rPr>
        <w:t xml:space="preserve"> with a broader measure of social media</w:t>
      </w:r>
      <w:r w:rsidR="0030451C" w:rsidRPr="00D1495F">
        <w:rPr>
          <w:rFonts w:cstheme="minorHAnsi"/>
          <w:sz w:val="24"/>
          <w:szCs w:val="24"/>
        </w:rPr>
        <w:t xml:space="preserve">.  </w:t>
      </w:r>
    </w:p>
    <w:p w14:paraId="6779E69D" w14:textId="37E1BF96" w:rsidR="001B0450" w:rsidRPr="00D1495F" w:rsidRDefault="004E717D" w:rsidP="008446DF">
      <w:pPr>
        <w:pStyle w:val="ListParagraph"/>
        <w:numPr>
          <w:ilvl w:val="0"/>
          <w:numId w:val="23"/>
        </w:numPr>
        <w:spacing w:line="276" w:lineRule="auto"/>
        <w:jc w:val="both"/>
        <w:rPr>
          <w:rFonts w:cstheme="minorHAnsi"/>
          <w:sz w:val="24"/>
          <w:szCs w:val="24"/>
        </w:rPr>
      </w:pPr>
      <w:r w:rsidRPr="00D1495F">
        <w:rPr>
          <w:rFonts w:cstheme="minorHAnsi"/>
          <w:b/>
          <w:sz w:val="24"/>
          <w:szCs w:val="24"/>
        </w:rPr>
        <w:t>Cultural</w:t>
      </w:r>
      <w:r w:rsidR="0030451C" w:rsidRPr="00D1495F">
        <w:rPr>
          <w:rFonts w:cstheme="minorHAnsi"/>
          <w:b/>
          <w:sz w:val="24"/>
          <w:szCs w:val="24"/>
        </w:rPr>
        <w:t xml:space="preserve"> support</w:t>
      </w:r>
      <w:r w:rsidR="001B0450" w:rsidRPr="00D1495F">
        <w:rPr>
          <w:rFonts w:cstheme="minorHAnsi"/>
          <w:sz w:val="24"/>
          <w:szCs w:val="24"/>
        </w:rPr>
        <w:t xml:space="preserve">: </w:t>
      </w:r>
      <w:r w:rsidR="0030451C" w:rsidRPr="00D1495F">
        <w:rPr>
          <w:rFonts w:cstheme="minorHAnsi"/>
          <w:sz w:val="24"/>
          <w:szCs w:val="24"/>
        </w:rPr>
        <w:t xml:space="preserve">The institutional variable is corruption.  </w:t>
      </w:r>
    </w:p>
    <w:p w14:paraId="5EB36A54" w14:textId="4CF5AE57" w:rsidR="001B0450" w:rsidRPr="00D1495F" w:rsidRDefault="004E717D" w:rsidP="008446DF">
      <w:pPr>
        <w:pStyle w:val="ListParagraph"/>
        <w:numPr>
          <w:ilvl w:val="0"/>
          <w:numId w:val="23"/>
        </w:numPr>
        <w:spacing w:line="276" w:lineRule="auto"/>
        <w:jc w:val="both"/>
        <w:rPr>
          <w:rFonts w:cstheme="minorHAnsi"/>
          <w:sz w:val="24"/>
          <w:szCs w:val="24"/>
        </w:rPr>
      </w:pPr>
      <w:r w:rsidRPr="00D1495F">
        <w:rPr>
          <w:rFonts w:cstheme="minorHAnsi"/>
          <w:b/>
          <w:sz w:val="24"/>
          <w:szCs w:val="24"/>
        </w:rPr>
        <w:t>Opportunity</w:t>
      </w:r>
      <w:r w:rsidR="0030451C" w:rsidRPr="00D1495F">
        <w:rPr>
          <w:rFonts w:cstheme="minorHAnsi"/>
          <w:b/>
          <w:sz w:val="24"/>
          <w:szCs w:val="24"/>
        </w:rPr>
        <w:t xml:space="preserve"> start-ups</w:t>
      </w:r>
      <w:r w:rsidR="001B0450" w:rsidRPr="00D1495F">
        <w:rPr>
          <w:rFonts w:cstheme="minorHAnsi"/>
          <w:sz w:val="24"/>
          <w:szCs w:val="24"/>
        </w:rPr>
        <w:t>:</w:t>
      </w:r>
      <w:r w:rsidR="0030451C" w:rsidRPr="00D1495F">
        <w:rPr>
          <w:rFonts w:cstheme="minorHAnsi"/>
          <w:sz w:val="24"/>
          <w:szCs w:val="24"/>
        </w:rPr>
        <w:t xml:space="preserve"> </w:t>
      </w:r>
      <w:r w:rsidR="001B0450" w:rsidRPr="00D1495F">
        <w:rPr>
          <w:rFonts w:cstheme="minorHAnsi"/>
          <w:sz w:val="24"/>
          <w:szCs w:val="24"/>
        </w:rPr>
        <w:t xml:space="preserve">replace </w:t>
      </w:r>
      <w:r w:rsidR="0030451C" w:rsidRPr="00D1495F">
        <w:rPr>
          <w:rFonts w:cstheme="minorHAnsi"/>
          <w:sz w:val="24"/>
          <w:szCs w:val="24"/>
        </w:rPr>
        <w:t xml:space="preserve">economic freedom </w:t>
      </w:r>
      <w:r w:rsidR="001B0450" w:rsidRPr="00D1495F">
        <w:rPr>
          <w:rFonts w:cstheme="minorHAnsi"/>
          <w:sz w:val="24"/>
          <w:szCs w:val="24"/>
        </w:rPr>
        <w:t xml:space="preserve">with </w:t>
      </w:r>
      <w:r w:rsidR="00624B72" w:rsidRPr="00D1495F">
        <w:rPr>
          <w:rFonts w:cstheme="minorHAnsi"/>
          <w:sz w:val="24"/>
          <w:szCs w:val="24"/>
        </w:rPr>
        <w:t>taxation and</w:t>
      </w:r>
      <w:r w:rsidR="001B0450" w:rsidRPr="00D1495F">
        <w:rPr>
          <w:rFonts w:cstheme="minorHAnsi"/>
          <w:sz w:val="24"/>
          <w:szCs w:val="24"/>
        </w:rPr>
        <w:t xml:space="preserve"> government efficiency.</w:t>
      </w:r>
      <w:r w:rsidR="0030451C" w:rsidRPr="00D1495F">
        <w:rPr>
          <w:rFonts w:cstheme="minorHAnsi"/>
          <w:sz w:val="24"/>
          <w:szCs w:val="24"/>
        </w:rPr>
        <w:t xml:space="preserve">  </w:t>
      </w:r>
    </w:p>
    <w:p w14:paraId="00627D64" w14:textId="77777777" w:rsidR="001F1C71" w:rsidRPr="00D1495F" w:rsidRDefault="001F1C71" w:rsidP="008446DF">
      <w:pPr>
        <w:pStyle w:val="ListParagraph"/>
        <w:numPr>
          <w:ilvl w:val="0"/>
          <w:numId w:val="23"/>
        </w:numPr>
        <w:spacing w:line="276" w:lineRule="auto"/>
        <w:jc w:val="both"/>
        <w:rPr>
          <w:rFonts w:cstheme="minorHAnsi"/>
          <w:sz w:val="24"/>
          <w:szCs w:val="24"/>
        </w:rPr>
      </w:pPr>
      <w:r w:rsidRPr="00D1495F">
        <w:rPr>
          <w:rFonts w:cstheme="minorHAnsi"/>
          <w:b/>
          <w:sz w:val="24"/>
          <w:szCs w:val="24"/>
        </w:rPr>
        <w:t>Tech sector:</w:t>
      </w:r>
      <w:r w:rsidRPr="00D1495F">
        <w:rPr>
          <w:rFonts w:cstheme="minorHAnsi"/>
          <w:sz w:val="24"/>
          <w:szCs w:val="24"/>
        </w:rPr>
        <w:t xml:space="preserve"> the institutional pillar is </w:t>
      </w:r>
      <w:r w:rsidR="0030451C" w:rsidRPr="00D1495F">
        <w:rPr>
          <w:rFonts w:cstheme="minorHAnsi"/>
          <w:sz w:val="24"/>
          <w:szCs w:val="24"/>
        </w:rPr>
        <w:t xml:space="preserve">technology absorption.  </w:t>
      </w:r>
    </w:p>
    <w:p w14:paraId="0B9B2ACB" w14:textId="3E61D661" w:rsidR="001F1C71" w:rsidRPr="00D1495F" w:rsidRDefault="004E717D" w:rsidP="008446DF">
      <w:pPr>
        <w:pStyle w:val="ListParagraph"/>
        <w:numPr>
          <w:ilvl w:val="0"/>
          <w:numId w:val="23"/>
        </w:numPr>
        <w:spacing w:line="276" w:lineRule="auto"/>
        <w:jc w:val="both"/>
        <w:rPr>
          <w:rFonts w:cstheme="minorHAnsi"/>
          <w:sz w:val="24"/>
          <w:szCs w:val="24"/>
        </w:rPr>
      </w:pPr>
      <w:r w:rsidRPr="00D1495F">
        <w:rPr>
          <w:rFonts w:cstheme="minorHAnsi"/>
          <w:b/>
          <w:sz w:val="24"/>
          <w:szCs w:val="24"/>
        </w:rPr>
        <w:t>Human</w:t>
      </w:r>
      <w:r w:rsidR="0030451C" w:rsidRPr="00D1495F">
        <w:rPr>
          <w:rFonts w:cstheme="minorHAnsi"/>
          <w:b/>
          <w:sz w:val="24"/>
          <w:szCs w:val="24"/>
        </w:rPr>
        <w:t xml:space="preserve"> capital</w:t>
      </w:r>
      <w:r w:rsidR="0030451C" w:rsidRPr="00D1495F">
        <w:rPr>
          <w:rFonts w:cstheme="minorHAnsi"/>
          <w:sz w:val="24"/>
          <w:szCs w:val="24"/>
        </w:rPr>
        <w:t xml:space="preserve">. </w:t>
      </w:r>
      <w:r w:rsidRPr="00D1495F">
        <w:rPr>
          <w:rFonts w:cstheme="minorHAnsi"/>
          <w:sz w:val="24"/>
          <w:szCs w:val="24"/>
        </w:rPr>
        <w:t>Replace staff</w:t>
      </w:r>
      <w:r w:rsidR="0030451C" w:rsidRPr="00D1495F">
        <w:rPr>
          <w:rFonts w:cstheme="minorHAnsi"/>
          <w:sz w:val="24"/>
          <w:szCs w:val="24"/>
        </w:rPr>
        <w:t xml:space="preserve"> training</w:t>
      </w:r>
      <w:r w:rsidR="001F1C71" w:rsidRPr="00D1495F">
        <w:rPr>
          <w:rFonts w:cstheme="minorHAnsi"/>
          <w:sz w:val="24"/>
          <w:szCs w:val="24"/>
        </w:rPr>
        <w:t xml:space="preserve"> with </w:t>
      </w:r>
      <w:proofErr w:type="spellStart"/>
      <w:r w:rsidR="001F1C71" w:rsidRPr="00D1495F">
        <w:rPr>
          <w:rFonts w:cstheme="minorHAnsi"/>
          <w:sz w:val="24"/>
          <w:szCs w:val="24"/>
        </w:rPr>
        <w:t>labor</w:t>
      </w:r>
      <w:proofErr w:type="spellEnd"/>
      <w:r w:rsidR="001F1C71" w:rsidRPr="00D1495F">
        <w:rPr>
          <w:rFonts w:cstheme="minorHAnsi"/>
          <w:sz w:val="24"/>
          <w:szCs w:val="24"/>
        </w:rPr>
        <w:t xml:space="preserve"> markets and regulation</w:t>
      </w:r>
      <w:r w:rsidR="0030451C" w:rsidRPr="00D1495F">
        <w:rPr>
          <w:rFonts w:cstheme="minorHAnsi"/>
          <w:sz w:val="24"/>
          <w:szCs w:val="24"/>
        </w:rPr>
        <w:t>.</w:t>
      </w:r>
    </w:p>
    <w:p w14:paraId="73AAD47B" w14:textId="738AF82F" w:rsidR="001F1C71" w:rsidRPr="00D1495F" w:rsidRDefault="0030451C" w:rsidP="008446DF">
      <w:pPr>
        <w:pStyle w:val="ListParagraph"/>
        <w:numPr>
          <w:ilvl w:val="0"/>
          <w:numId w:val="23"/>
        </w:numPr>
        <w:spacing w:line="276" w:lineRule="auto"/>
        <w:jc w:val="both"/>
        <w:rPr>
          <w:rFonts w:cstheme="minorHAnsi"/>
          <w:sz w:val="24"/>
          <w:szCs w:val="24"/>
        </w:rPr>
      </w:pPr>
      <w:r w:rsidRPr="00D1495F">
        <w:rPr>
          <w:rFonts w:cstheme="minorHAnsi"/>
          <w:sz w:val="24"/>
          <w:szCs w:val="24"/>
        </w:rPr>
        <w:t xml:space="preserve"> </w:t>
      </w:r>
      <w:r w:rsidR="004E717D" w:rsidRPr="00D1495F">
        <w:rPr>
          <w:rFonts w:cstheme="minorHAnsi"/>
          <w:b/>
          <w:sz w:val="24"/>
          <w:szCs w:val="24"/>
        </w:rPr>
        <w:t>Competition</w:t>
      </w:r>
      <w:r w:rsidRPr="00D1495F">
        <w:rPr>
          <w:rFonts w:cstheme="minorHAnsi"/>
          <w:sz w:val="24"/>
          <w:szCs w:val="24"/>
        </w:rPr>
        <w:t xml:space="preserve">. The institutional variable is market dominance. </w:t>
      </w:r>
    </w:p>
    <w:p w14:paraId="2E6F824F" w14:textId="38F187D9" w:rsidR="001F1C71" w:rsidRPr="00D1495F" w:rsidRDefault="004E717D" w:rsidP="008446DF">
      <w:pPr>
        <w:pStyle w:val="ListParagraph"/>
        <w:numPr>
          <w:ilvl w:val="0"/>
          <w:numId w:val="23"/>
        </w:numPr>
        <w:spacing w:line="276" w:lineRule="auto"/>
        <w:jc w:val="both"/>
        <w:rPr>
          <w:rFonts w:cstheme="minorHAnsi"/>
          <w:sz w:val="24"/>
          <w:szCs w:val="24"/>
        </w:rPr>
      </w:pPr>
      <w:r w:rsidRPr="00D1495F">
        <w:rPr>
          <w:b/>
          <w:sz w:val="24"/>
          <w:szCs w:val="24"/>
        </w:rPr>
        <w:t>Product</w:t>
      </w:r>
      <w:r w:rsidR="001F1C71" w:rsidRPr="00D1495F">
        <w:rPr>
          <w:b/>
          <w:sz w:val="24"/>
          <w:szCs w:val="24"/>
        </w:rPr>
        <w:t xml:space="preserve"> Innovation:</w:t>
      </w:r>
      <w:r w:rsidR="001F1C71" w:rsidRPr="00D1495F">
        <w:rPr>
          <w:sz w:val="24"/>
          <w:szCs w:val="24"/>
        </w:rPr>
        <w:t xml:space="preserve"> The institutional variable is technology transfer.</w:t>
      </w:r>
    </w:p>
    <w:p w14:paraId="07D0A550" w14:textId="0D0797E1" w:rsidR="001F1C71" w:rsidRPr="00D1495F" w:rsidRDefault="0030451C" w:rsidP="008446DF">
      <w:pPr>
        <w:pStyle w:val="ListParagraph"/>
        <w:numPr>
          <w:ilvl w:val="0"/>
          <w:numId w:val="23"/>
        </w:numPr>
        <w:spacing w:line="276" w:lineRule="auto"/>
        <w:jc w:val="both"/>
        <w:rPr>
          <w:rFonts w:cstheme="minorHAnsi"/>
          <w:sz w:val="24"/>
          <w:szCs w:val="24"/>
        </w:rPr>
      </w:pPr>
      <w:r w:rsidRPr="00D1495F">
        <w:rPr>
          <w:sz w:val="24"/>
          <w:szCs w:val="24"/>
        </w:rPr>
        <w:t xml:space="preserve"> </w:t>
      </w:r>
      <w:r w:rsidR="004E717D" w:rsidRPr="00D1495F">
        <w:rPr>
          <w:b/>
          <w:sz w:val="24"/>
          <w:szCs w:val="24"/>
        </w:rPr>
        <w:t>Process</w:t>
      </w:r>
      <w:r w:rsidRPr="00D1495F">
        <w:rPr>
          <w:b/>
          <w:sz w:val="24"/>
          <w:szCs w:val="24"/>
        </w:rPr>
        <w:t xml:space="preserve"> innovation.</w:t>
      </w:r>
      <w:r w:rsidRPr="00D1495F">
        <w:rPr>
          <w:sz w:val="24"/>
          <w:szCs w:val="24"/>
        </w:rPr>
        <w:t xml:space="preserve"> The institutional expenditure on research and development.</w:t>
      </w:r>
      <w:r w:rsidR="001F1C71" w:rsidRPr="00D1495F">
        <w:rPr>
          <w:sz w:val="24"/>
          <w:szCs w:val="24"/>
        </w:rPr>
        <w:t xml:space="preserve"> We could also introduce the quality of educational institutions here.</w:t>
      </w:r>
      <w:r w:rsidRPr="00D1495F">
        <w:rPr>
          <w:sz w:val="24"/>
          <w:szCs w:val="24"/>
        </w:rPr>
        <w:t xml:space="preserve"> </w:t>
      </w:r>
    </w:p>
    <w:p w14:paraId="374BFFD4" w14:textId="6A987FB9" w:rsidR="001F1C71" w:rsidRPr="00D1495F" w:rsidRDefault="004E717D" w:rsidP="008446DF">
      <w:pPr>
        <w:pStyle w:val="ListParagraph"/>
        <w:numPr>
          <w:ilvl w:val="0"/>
          <w:numId w:val="23"/>
        </w:numPr>
        <w:spacing w:line="276" w:lineRule="auto"/>
        <w:jc w:val="both"/>
        <w:rPr>
          <w:rFonts w:cstheme="minorHAnsi"/>
          <w:sz w:val="24"/>
          <w:szCs w:val="24"/>
        </w:rPr>
      </w:pPr>
      <w:r w:rsidRPr="00D1495F">
        <w:rPr>
          <w:b/>
          <w:sz w:val="24"/>
          <w:szCs w:val="24"/>
        </w:rPr>
        <w:t>High</w:t>
      </w:r>
      <w:r w:rsidR="0030451C" w:rsidRPr="00D1495F">
        <w:rPr>
          <w:b/>
          <w:sz w:val="24"/>
          <w:szCs w:val="24"/>
        </w:rPr>
        <w:t xml:space="preserve"> growth.</w:t>
      </w:r>
      <w:r w:rsidR="0030451C" w:rsidRPr="00D1495F">
        <w:rPr>
          <w:sz w:val="24"/>
          <w:szCs w:val="24"/>
        </w:rPr>
        <w:t xml:space="preserve">  </w:t>
      </w:r>
      <w:r w:rsidR="001F1C71" w:rsidRPr="00D1495F">
        <w:rPr>
          <w:sz w:val="24"/>
          <w:szCs w:val="24"/>
        </w:rPr>
        <w:t xml:space="preserve">Replace </w:t>
      </w:r>
      <w:r w:rsidR="0030451C" w:rsidRPr="00D1495F">
        <w:rPr>
          <w:sz w:val="24"/>
          <w:szCs w:val="24"/>
        </w:rPr>
        <w:t xml:space="preserve">business strategy. </w:t>
      </w:r>
      <w:r w:rsidR="001F1C71" w:rsidRPr="00D1495F">
        <w:rPr>
          <w:sz w:val="24"/>
          <w:szCs w:val="24"/>
        </w:rPr>
        <w:t>Equity finance</w:t>
      </w:r>
      <w:r w:rsidR="0030451C" w:rsidRPr="00D1495F">
        <w:rPr>
          <w:sz w:val="24"/>
          <w:szCs w:val="24"/>
        </w:rPr>
        <w:t xml:space="preserve"> as an institutional variable </w:t>
      </w:r>
      <w:r w:rsidR="001F1C71" w:rsidRPr="00D1495F">
        <w:rPr>
          <w:sz w:val="24"/>
          <w:szCs w:val="24"/>
        </w:rPr>
        <w:t>to include crown, angels and venture capital</w:t>
      </w:r>
      <w:r w:rsidR="0030451C" w:rsidRPr="00D1495F">
        <w:rPr>
          <w:sz w:val="24"/>
          <w:szCs w:val="24"/>
        </w:rPr>
        <w:t xml:space="preserve">. </w:t>
      </w:r>
    </w:p>
    <w:p w14:paraId="2DAE99C8" w14:textId="77777777" w:rsidR="004E717D" w:rsidRPr="00D1495F" w:rsidRDefault="004E717D" w:rsidP="008446DF">
      <w:pPr>
        <w:pStyle w:val="ListParagraph"/>
        <w:numPr>
          <w:ilvl w:val="0"/>
          <w:numId w:val="23"/>
        </w:numPr>
        <w:spacing w:line="276" w:lineRule="auto"/>
        <w:jc w:val="both"/>
        <w:rPr>
          <w:rFonts w:cstheme="minorHAnsi"/>
          <w:sz w:val="24"/>
          <w:szCs w:val="24"/>
        </w:rPr>
      </w:pPr>
      <w:r w:rsidRPr="00D1495F">
        <w:rPr>
          <w:b/>
          <w:sz w:val="24"/>
          <w:szCs w:val="24"/>
        </w:rPr>
        <w:t>Internationalization</w:t>
      </w:r>
      <w:r w:rsidR="0030451C" w:rsidRPr="00D1495F">
        <w:rPr>
          <w:sz w:val="24"/>
          <w:szCs w:val="24"/>
        </w:rPr>
        <w:t xml:space="preserve">. </w:t>
      </w:r>
      <w:r w:rsidR="001F1C71" w:rsidRPr="00D1495F">
        <w:rPr>
          <w:sz w:val="24"/>
          <w:szCs w:val="24"/>
        </w:rPr>
        <w:t>Repl</w:t>
      </w:r>
      <w:r w:rsidRPr="00D1495F">
        <w:rPr>
          <w:sz w:val="24"/>
          <w:szCs w:val="24"/>
        </w:rPr>
        <w:t>a</w:t>
      </w:r>
      <w:r w:rsidR="001F1C71" w:rsidRPr="00D1495F">
        <w:rPr>
          <w:sz w:val="24"/>
          <w:szCs w:val="24"/>
        </w:rPr>
        <w:t>ce</w:t>
      </w:r>
      <w:r w:rsidRPr="00D1495F">
        <w:rPr>
          <w:sz w:val="24"/>
          <w:szCs w:val="24"/>
        </w:rPr>
        <w:t xml:space="preserve"> </w:t>
      </w:r>
      <w:r w:rsidR="0030451C" w:rsidRPr="00D1495F">
        <w:rPr>
          <w:sz w:val="24"/>
          <w:szCs w:val="24"/>
        </w:rPr>
        <w:t>globalization</w:t>
      </w:r>
      <w:r w:rsidRPr="00D1495F">
        <w:rPr>
          <w:sz w:val="24"/>
          <w:szCs w:val="24"/>
        </w:rPr>
        <w:t xml:space="preserve"> with a measure of complexity</w:t>
      </w:r>
      <w:r w:rsidR="0030451C" w:rsidRPr="00D1495F">
        <w:rPr>
          <w:sz w:val="24"/>
          <w:szCs w:val="24"/>
        </w:rPr>
        <w:t xml:space="preserve">. The variable is old and does not change much. </w:t>
      </w:r>
    </w:p>
    <w:p w14:paraId="1A47FE92" w14:textId="0005A1A4" w:rsidR="00FB7A49" w:rsidRDefault="004E717D" w:rsidP="008446DF">
      <w:pPr>
        <w:pStyle w:val="ListParagraph"/>
        <w:numPr>
          <w:ilvl w:val="0"/>
          <w:numId w:val="23"/>
        </w:numPr>
        <w:spacing w:line="276" w:lineRule="auto"/>
        <w:jc w:val="both"/>
        <w:rPr>
          <w:sz w:val="24"/>
          <w:szCs w:val="24"/>
        </w:rPr>
      </w:pPr>
      <w:r w:rsidRPr="00D1495F">
        <w:rPr>
          <w:b/>
          <w:sz w:val="24"/>
          <w:szCs w:val="24"/>
        </w:rPr>
        <w:t>F</w:t>
      </w:r>
      <w:r w:rsidR="0030451C" w:rsidRPr="00D1495F">
        <w:rPr>
          <w:b/>
          <w:sz w:val="24"/>
          <w:szCs w:val="24"/>
        </w:rPr>
        <w:t>inance</w:t>
      </w:r>
      <w:r w:rsidR="0030451C" w:rsidRPr="00D1495F">
        <w:rPr>
          <w:sz w:val="24"/>
          <w:szCs w:val="24"/>
        </w:rPr>
        <w:t>. The institutional variable for finance is of depth of capital markets. T</w:t>
      </w:r>
      <w:r w:rsidRPr="00D1495F">
        <w:rPr>
          <w:sz w:val="24"/>
          <w:szCs w:val="24"/>
        </w:rPr>
        <w:t>he variable can be adjusted to reflect the way in which the financial system assists start-ups</w:t>
      </w:r>
      <w:r w:rsidR="0030451C" w:rsidRPr="00D1495F">
        <w:rPr>
          <w:sz w:val="24"/>
          <w:szCs w:val="24"/>
        </w:rPr>
        <w:t xml:space="preserve">. </w:t>
      </w:r>
    </w:p>
    <w:p w14:paraId="7316B3B7" w14:textId="77777777" w:rsidR="00FB7A49" w:rsidRDefault="00FB7A49">
      <w:pPr>
        <w:spacing w:line="240" w:lineRule="auto"/>
        <w:rPr>
          <w:sz w:val="24"/>
          <w:szCs w:val="24"/>
        </w:rPr>
      </w:pPr>
      <w:r>
        <w:rPr>
          <w:sz w:val="24"/>
          <w:szCs w:val="24"/>
        </w:rPr>
        <w:br w:type="page"/>
      </w:r>
    </w:p>
    <w:p w14:paraId="5989EF16" w14:textId="7A6B8B09" w:rsidR="0096798A" w:rsidRDefault="0096798A" w:rsidP="0060328A">
      <w:pPr>
        <w:pStyle w:val="Heading2"/>
        <w:spacing w:before="200"/>
        <w:jc w:val="both"/>
      </w:pPr>
      <w:bookmarkStart w:id="32" w:name="_Toc447096855"/>
      <w:r>
        <w:lastRenderedPageBreak/>
        <w:t>5.6 What a new GEI looks like</w:t>
      </w:r>
      <w:bookmarkEnd w:id="32"/>
    </w:p>
    <w:p w14:paraId="6A5EFFD8" w14:textId="77777777" w:rsidR="0096798A" w:rsidRPr="0096798A" w:rsidRDefault="0096798A" w:rsidP="0060328A">
      <w:pPr>
        <w:spacing w:line="276" w:lineRule="auto"/>
        <w:ind w:firstLine="708"/>
        <w:jc w:val="both"/>
        <w:rPr>
          <w:rFonts w:cstheme="minorHAnsi"/>
          <w:sz w:val="28"/>
          <w:szCs w:val="28"/>
        </w:rPr>
      </w:pPr>
    </w:p>
    <w:tbl>
      <w:tblPr>
        <w:tblW w:w="5000" w:type="pct"/>
        <w:tblLayout w:type="fixed"/>
        <w:tblLook w:val="00A0" w:firstRow="1" w:lastRow="0" w:firstColumn="1" w:lastColumn="0" w:noHBand="0" w:noVBand="0"/>
      </w:tblPr>
      <w:tblGrid>
        <w:gridCol w:w="313"/>
        <w:gridCol w:w="313"/>
        <w:gridCol w:w="313"/>
        <w:gridCol w:w="313"/>
        <w:gridCol w:w="313"/>
        <w:gridCol w:w="313"/>
        <w:gridCol w:w="313"/>
        <w:gridCol w:w="314"/>
        <w:gridCol w:w="314"/>
        <w:gridCol w:w="318"/>
        <w:gridCol w:w="236"/>
        <w:gridCol w:w="314"/>
        <w:gridCol w:w="314"/>
        <w:gridCol w:w="316"/>
        <w:gridCol w:w="316"/>
        <w:gridCol w:w="316"/>
        <w:gridCol w:w="316"/>
        <w:gridCol w:w="316"/>
        <w:gridCol w:w="321"/>
        <w:gridCol w:w="236"/>
        <w:gridCol w:w="318"/>
        <w:gridCol w:w="318"/>
        <w:gridCol w:w="384"/>
        <w:gridCol w:w="236"/>
        <w:gridCol w:w="318"/>
        <w:gridCol w:w="318"/>
        <w:gridCol w:w="318"/>
        <w:gridCol w:w="318"/>
        <w:gridCol w:w="384"/>
        <w:gridCol w:w="236"/>
      </w:tblGrid>
      <w:tr w:rsidR="00405CB2" w14:paraId="520CFDE4" w14:textId="77777777" w:rsidTr="00220A00">
        <w:trPr>
          <w:trHeight w:val="484"/>
        </w:trPr>
        <w:tc>
          <w:tcPr>
            <w:tcW w:w="5000" w:type="pct"/>
            <w:gridSpan w:val="30"/>
            <w:tcBorders>
              <w:top w:val="single" w:sz="8" w:space="0" w:color="000000"/>
              <w:left w:val="single" w:sz="8" w:space="0" w:color="000000"/>
              <w:bottom w:val="nil"/>
              <w:right w:val="single" w:sz="8" w:space="0" w:color="000000"/>
            </w:tcBorders>
            <w:shd w:val="clear" w:color="auto" w:fill="000000"/>
            <w:vAlign w:val="center"/>
            <w:hideMark/>
          </w:tcPr>
          <w:p w14:paraId="78683D85" w14:textId="77777777" w:rsidR="00405CB2" w:rsidRPr="00220A00" w:rsidRDefault="00405CB2" w:rsidP="0060328A">
            <w:pPr>
              <w:spacing w:after="200" w:line="276" w:lineRule="auto"/>
              <w:jc w:val="both"/>
              <w:rPr>
                <w:rFonts w:asciiTheme="minorHAnsi" w:eastAsia="Times New Roman" w:hAnsiTheme="minorHAnsi"/>
                <w:b/>
                <w:sz w:val="22"/>
                <w:szCs w:val="24"/>
                <w:lang w:val="hu-HU"/>
              </w:rPr>
            </w:pPr>
            <w:r w:rsidRPr="00220A00">
              <w:rPr>
                <w:rFonts w:asciiTheme="minorHAnsi" w:hAnsiTheme="minorHAnsi"/>
                <w:b/>
                <w:sz w:val="22"/>
                <w:lang w:val="hu-HU"/>
              </w:rPr>
              <w:t>THE STRUCTURE OF THE GLOBAL ENTREPRENEURSHIP INDEX</w:t>
            </w:r>
          </w:p>
        </w:tc>
      </w:tr>
      <w:tr w:rsidR="00405CB2" w14:paraId="60FCF250" w14:textId="77777777" w:rsidTr="00784826">
        <w:trPr>
          <w:trHeight w:val="720"/>
        </w:trPr>
        <w:tc>
          <w:tcPr>
            <w:tcW w:w="1690" w:type="pct"/>
            <w:gridSpan w:val="10"/>
            <w:tcBorders>
              <w:top w:val="nil"/>
              <w:left w:val="single" w:sz="8" w:space="0" w:color="000000"/>
              <w:bottom w:val="single" w:sz="8" w:space="0" w:color="000000"/>
              <w:right w:val="single" w:sz="8" w:space="0" w:color="000000"/>
            </w:tcBorders>
            <w:vAlign w:val="center"/>
            <w:hideMark/>
          </w:tcPr>
          <w:p w14:paraId="5775074B" w14:textId="77777777" w:rsidR="00405CB2" w:rsidRPr="00220A00" w:rsidRDefault="00405CB2" w:rsidP="0060328A">
            <w:pPr>
              <w:spacing w:after="200" w:line="276" w:lineRule="auto"/>
              <w:jc w:val="both"/>
              <w:rPr>
                <w:rFonts w:asciiTheme="minorHAnsi" w:eastAsia="Times New Roman" w:hAnsiTheme="minorHAnsi"/>
                <w:b/>
                <w:sz w:val="22"/>
                <w:szCs w:val="24"/>
                <w:lang w:val="hu-HU"/>
              </w:rPr>
            </w:pPr>
            <w:r w:rsidRPr="00220A00">
              <w:rPr>
                <w:rFonts w:asciiTheme="minorHAnsi" w:hAnsiTheme="minorHAnsi"/>
                <w:b/>
                <w:sz w:val="22"/>
                <w:lang w:val="hu-HU"/>
              </w:rPr>
              <w:t>Attitudes Sub-Index</w:t>
            </w:r>
          </w:p>
        </w:tc>
        <w:tc>
          <w:tcPr>
            <w:tcW w:w="127" w:type="pct"/>
            <w:vAlign w:val="center"/>
          </w:tcPr>
          <w:p w14:paraId="3FA59E90" w14:textId="77777777" w:rsidR="00405CB2" w:rsidRPr="00220A00" w:rsidRDefault="00405CB2" w:rsidP="0060328A">
            <w:pPr>
              <w:spacing w:after="200" w:line="276" w:lineRule="auto"/>
              <w:jc w:val="both"/>
              <w:rPr>
                <w:rFonts w:asciiTheme="minorHAnsi" w:eastAsia="Times New Roman" w:hAnsiTheme="minorHAnsi"/>
                <w:b/>
                <w:sz w:val="22"/>
                <w:szCs w:val="24"/>
                <w:lang w:val="hu-HU"/>
              </w:rPr>
            </w:pPr>
          </w:p>
        </w:tc>
        <w:tc>
          <w:tcPr>
            <w:tcW w:w="1361" w:type="pct"/>
            <w:gridSpan w:val="8"/>
            <w:tcBorders>
              <w:top w:val="nil"/>
              <w:left w:val="single" w:sz="8" w:space="0" w:color="000000"/>
              <w:bottom w:val="single" w:sz="8" w:space="0" w:color="000000"/>
              <w:right w:val="nil"/>
            </w:tcBorders>
            <w:vAlign w:val="center"/>
            <w:hideMark/>
          </w:tcPr>
          <w:p w14:paraId="4FC0DDBE" w14:textId="77777777" w:rsidR="00405CB2" w:rsidRPr="00220A00" w:rsidRDefault="00405CB2" w:rsidP="0060328A">
            <w:pPr>
              <w:spacing w:after="200" w:line="276" w:lineRule="auto"/>
              <w:jc w:val="both"/>
              <w:rPr>
                <w:rFonts w:asciiTheme="minorHAnsi" w:eastAsia="Times New Roman" w:hAnsiTheme="minorHAnsi"/>
                <w:b/>
                <w:sz w:val="22"/>
                <w:szCs w:val="24"/>
                <w:lang w:val="hu-HU"/>
              </w:rPr>
            </w:pPr>
            <w:r w:rsidRPr="00220A00">
              <w:rPr>
                <w:rFonts w:asciiTheme="minorHAnsi" w:hAnsiTheme="minorHAnsi"/>
                <w:b/>
                <w:sz w:val="22"/>
                <w:lang w:val="hu-HU"/>
              </w:rPr>
              <w:t>Abilities Sub-Index</w:t>
            </w:r>
          </w:p>
        </w:tc>
        <w:tc>
          <w:tcPr>
            <w:tcW w:w="127" w:type="pct"/>
            <w:tcBorders>
              <w:top w:val="nil"/>
              <w:left w:val="single" w:sz="8" w:space="0" w:color="auto"/>
              <w:bottom w:val="nil"/>
              <w:right w:val="single" w:sz="8" w:space="0" w:color="000000"/>
            </w:tcBorders>
            <w:vAlign w:val="center"/>
          </w:tcPr>
          <w:p w14:paraId="35079D49" w14:textId="77777777" w:rsidR="00405CB2" w:rsidRPr="00220A00" w:rsidRDefault="00405CB2" w:rsidP="0060328A">
            <w:pPr>
              <w:spacing w:after="200" w:line="276" w:lineRule="auto"/>
              <w:jc w:val="both"/>
              <w:rPr>
                <w:rFonts w:asciiTheme="minorHAnsi" w:eastAsia="Times New Roman" w:hAnsiTheme="minorHAnsi"/>
                <w:b/>
                <w:sz w:val="22"/>
                <w:szCs w:val="24"/>
                <w:lang w:val="hu-HU"/>
              </w:rPr>
            </w:pPr>
          </w:p>
        </w:tc>
        <w:tc>
          <w:tcPr>
            <w:tcW w:w="1695" w:type="pct"/>
            <w:gridSpan w:val="10"/>
            <w:tcBorders>
              <w:top w:val="nil"/>
              <w:left w:val="nil"/>
              <w:bottom w:val="single" w:sz="8" w:space="0" w:color="000000"/>
              <w:right w:val="single" w:sz="8" w:space="0" w:color="000000"/>
            </w:tcBorders>
            <w:vAlign w:val="center"/>
            <w:hideMark/>
          </w:tcPr>
          <w:p w14:paraId="0029DC81" w14:textId="77777777" w:rsidR="00405CB2" w:rsidRPr="00220A00" w:rsidRDefault="00405CB2" w:rsidP="0060328A">
            <w:pPr>
              <w:spacing w:after="200" w:line="276" w:lineRule="auto"/>
              <w:jc w:val="both"/>
              <w:rPr>
                <w:rFonts w:asciiTheme="minorHAnsi" w:eastAsia="Times New Roman" w:hAnsiTheme="minorHAnsi"/>
                <w:b/>
                <w:sz w:val="22"/>
                <w:szCs w:val="24"/>
                <w:lang w:val="hu-HU"/>
              </w:rPr>
            </w:pPr>
            <w:r w:rsidRPr="00220A00">
              <w:rPr>
                <w:rFonts w:asciiTheme="minorHAnsi" w:hAnsiTheme="minorHAnsi"/>
                <w:b/>
                <w:sz w:val="22"/>
                <w:lang w:val="hu-HU"/>
              </w:rPr>
              <w:t>Aspirations Sub-Index</w:t>
            </w:r>
          </w:p>
        </w:tc>
      </w:tr>
      <w:tr w:rsidR="008446DF" w14:paraId="680714FA" w14:textId="77777777" w:rsidTr="00784826">
        <w:trPr>
          <w:trHeight w:val="2437"/>
        </w:trPr>
        <w:tc>
          <w:tcPr>
            <w:tcW w:w="337" w:type="pct"/>
            <w:gridSpan w:val="2"/>
            <w:tcBorders>
              <w:top w:val="single" w:sz="8" w:space="0" w:color="000000"/>
              <w:left w:val="single" w:sz="8" w:space="0" w:color="auto"/>
              <w:bottom w:val="single" w:sz="8" w:space="0" w:color="000000"/>
              <w:right w:val="nil"/>
            </w:tcBorders>
            <w:shd w:val="pct10" w:color="auto" w:fill="auto"/>
            <w:textDirection w:val="tbRl"/>
            <w:vAlign w:val="center"/>
            <w:hideMark/>
          </w:tcPr>
          <w:p w14:paraId="62E8E2C5" w14:textId="77777777" w:rsidR="00405CB2" w:rsidRPr="00220A00" w:rsidRDefault="00405CB2" w:rsidP="00220A00">
            <w:pPr>
              <w:spacing w:line="276" w:lineRule="auto"/>
              <w:jc w:val="center"/>
              <w:rPr>
                <w:rFonts w:eastAsia="Times New Roman"/>
                <w:b/>
                <w:sz w:val="22"/>
                <w:lang w:val="hu-HU"/>
              </w:rPr>
            </w:pPr>
            <w:r w:rsidRPr="00220A00">
              <w:rPr>
                <w:b/>
                <w:sz w:val="22"/>
                <w:lang w:val="hu-HU"/>
              </w:rPr>
              <w:t>OPPORTUNITY PERCEPTION</w:t>
            </w:r>
          </w:p>
        </w:tc>
        <w:tc>
          <w:tcPr>
            <w:tcW w:w="337" w:type="pct"/>
            <w:gridSpan w:val="2"/>
            <w:tcBorders>
              <w:top w:val="single" w:sz="8" w:space="0" w:color="000000"/>
              <w:left w:val="single" w:sz="8" w:space="0" w:color="000000"/>
              <w:bottom w:val="single" w:sz="8" w:space="0" w:color="000000"/>
              <w:right w:val="single" w:sz="8" w:space="0" w:color="000000"/>
            </w:tcBorders>
            <w:shd w:val="pct10" w:color="auto" w:fill="auto"/>
            <w:textDirection w:val="tbRl"/>
            <w:vAlign w:val="center"/>
            <w:hideMark/>
          </w:tcPr>
          <w:p w14:paraId="1B508386" w14:textId="77777777" w:rsidR="00405CB2" w:rsidRPr="00220A00" w:rsidRDefault="00405CB2" w:rsidP="00220A00">
            <w:pPr>
              <w:spacing w:line="276" w:lineRule="auto"/>
              <w:jc w:val="center"/>
              <w:rPr>
                <w:rFonts w:eastAsia="Times New Roman"/>
                <w:b/>
                <w:sz w:val="22"/>
                <w:lang w:val="hu-HU"/>
              </w:rPr>
            </w:pPr>
            <w:r w:rsidRPr="00220A00">
              <w:rPr>
                <w:b/>
                <w:sz w:val="22"/>
                <w:lang w:val="hu-HU"/>
              </w:rPr>
              <w:t>STARTUP SKILLS</w:t>
            </w:r>
          </w:p>
        </w:tc>
        <w:tc>
          <w:tcPr>
            <w:tcW w:w="338" w:type="pct"/>
            <w:gridSpan w:val="2"/>
            <w:tcBorders>
              <w:top w:val="single" w:sz="8" w:space="0" w:color="000000"/>
              <w:left w:val="nil"/>
              <w:bottom w:val="single" w:sz="8" w:space="0" w:color="000000"/>
              <w:right w:val="single" w:sz="8" w:space="0" w:color="000000"/>
            </w:tcBorders>
            <w:shd w:val="pct10" w:color="auto" w:fill="auto"/>
            <w:textDirection w:val="tbRl"/>
            <w:vAlign w:val="center"/>
            <w:hideMark/>
          </w:tcPr>
          <w:p w14:paraId="7AD26AFE" w14:textId="77777777" w:rsidR="00405CB2" w:rsidRPr="00220A00" w:rsidRDefault="00405CB2" w:rsidP="00220A00">
            <w:pPr>
              <w:spacing w:line="276" w:lineRule="auto"/>
              <w:jc w:val="center"/>
              <w:rPr>
                <w:rFonts w:eastAsia="Times New Roman"/>
                <w:b/>
                <w:sz w:val="22"/>
                <w:lang w:val="hu-HU"/>
              </w:rPr>
            </w:pPr>
            <w:r w:rsidRPr="00220A00">
              <w:rPr>
                <w:b/>
                <w:sz w:val="22"/>
                <w:lang w:val="hu-HU"/>
              </w:rPr>
              <w:t>RISK PERCEPTION</w:t>
            </w:r>
          </w:p>
        </w:tc>
        <w:tc>
          <w:tcPr>
            <w:tcW w:w="338" w:type="pct"/>
            <w:gridSpan w:val="2"/>
            <w:tcBorders>
              <w:top w:val="single" w:sz="8" w:space="0" w:color="000000"/>
              <w:left w:val="nil"/>
              <w:bottom w:val="single" w:sz="8" w:space="0" w:color="000000"/>
              <w:right w:val="single" w:sz="8" w:space="0" w:color="000000"/>
            </w:tcBorders>
            <w:shd w:val="pct10" w:color="auto" w:fill="auto"/>
            <w:textDirection w:val="tbRl"/>
            <w:vAlign w:val="center"/>
            <w:hideMark/>
          </w:tcPr>
          <w:p w14:paraId="755F7EC4" w14:textId="77777777" w:rsidR="00405CB2" w:rsidRPr="00220A00" w:rsidRDefault="00405CB2" w:rsidP="00220A00">
            <w:pPr>
              <w:spacing w:line="276" w:lineRule="auto"/>
              <w:jc w:val="center"/>
              <w:rPr>
                <w:rFonts w:eastAsia="Times New Roman"/>
                <w:b/>
                <w:sz w:val="22"/>
                <w:lang w:val="hu-HU"/>
              </w:rPr>
            </w:pPr>
            <w:r w:rsidRPr="00220A00">
              <w:rPr>
                <w:b/>
                <w:sz w:val="22"/>
                <w:lang w:val="hu-HU"/>
              </w:rPr>
              <w:t>NETWORKING</w:t>
            </w:r>
          </w:p>
        </w:tc>
        <w:tc>
          <w:tcPr>
            <w:tcW w:w="340" w:type="pct"/>
            <w:gridSpan w:val="2"/>
            <w:tcBorders>
              <w:top w:val="single" w:sz="8" w:space="0" w:color="000000"/>
              <w:left w:val="nil"/>
              <w:bottom w:val="single" w:sz="8" w:space="0" w:color="000000"/>
              <w:right w:val="single" w:sz="8" w:space="0" w:color="000000"/>
            </w:tcBorders>
            <w:shd w:val="pct10" w:color="auto" w:fill="auto"/>
            <w:textDirection w:val="tbRl"/>
            <w:vAlign w:val="center"/>
            <w:hideMark/>
          </w:tcPr>
          <w:p w14:paraId="6B8F2601" w14:textId="77777777" w:rsidR="00405CB2" w:rsidRPr="00220A00" w:rsidRDefault="00405CB2" w:rsidP="00220A00">
            <w:pPr>
              <w:spacing w:line="276" w:lineRule="auto"/>
              <w:jc w:val="center"/>
              <w:rPr>
                <w:rFonts w:eastAsia="Times New Roman"/>
                <w:b/>
                <w:sz w:val="22"/>
                <w:lang w:val="hu-HU"/>
              </w:rPr>
            </w:pPr>
            <w:r w:rsidRPr="00220A00">
              <w:rPr>
                <w:b/>
                <w:sz w:val="22"/>
                <w:lang w:val="hu-HU"/>
              </w:rPr>
              <w:t>CULTURAL SUPPORT</w:t>
            </w:r>
          </w:p>
        </w:tc>
        <w:tc>
          <w:tcPr>
            <w:tcW w:w="127" w:type="pct"/>
            <w:tcBorders>
              <w:top w:val="nil"/>
              <w:left w:val="nil"/>
              <w:bottom w:val="nil"/>
              <w:right w:val="single" w:sz="8" w:space="0" w:color="auto"/>
            </w:tcBorders>
            <w:textDirection w:val="tbRl"/>
            <w:vAlign w:val="center"/>
          </w:tcPr>
          <w:p w14:paraId="6DB1D77E" w14:textId="77777777" w:rsidR="00405CB2" w:rsidRPr="00220A00" w:rsidRDefault="00405CB2" w:rsidP="00220A00">
            <w:pPr>
              <w:spacing w:line="276" w:lineRule="auto"/>
              <w:jc w:val="center"/>
              <w:rPr>
                <w:rFonts w:eastAsia="Times New Roman"/>
                <w:b/>
                <w:sz w:val="22"/>
                <w:lang w:val="hu-HU"/>
              </w:rPr>
            </w:pPr>
          </w:p>
        </w:tc>
        <w:tc>
          <w:tcPr>
            <w:tcW w:w="338" w:type="pct"/>
            <w:gridSpan w:val="2"/>
            <w:tcBorders>
              <w:top w:val="single" w:sz="8" w:space="0" w:color="000000"/>
              <w:left w:val="nil"/>
              <w:bottom w:val="single" w:sz="8" w:space="0" w:color="000000"/>
              <w:right w:val="single" w:sz="8" w:space="0" w:color="000000"/>
            </w:tcBorders>
            <w:shd w:val="pct10" w:color="auto" w:fill="auto"/>
            <w:textDirection w:val="tbRl"/>
            <w:vAlign w:val="center"/>
            <w:hideMark/>
          </w:tcPr>
          <w:p w14:paraId="5AA4E29A" w14:textId="77777777" w:rsidR="00405CB2" w:rsidRPr="00220A00" w:rsidRDefault="00405CB2" w:rsidP="00220A00">
            <w:pPr>
              <w:spacing w:line="276" w:lineRule="auto"/>
              <w:jc w:val="center"/>
              <w:rPr>
                <w:rFonts w:eastAsia="Times New Roman"/>
                <w:b/>
                <w:sz w:val="22"/>
                <w:lang w:val="hu-HU"/>
              </w:rPr>
            </w:pPr>
            <w:r w:rsidRPr="00220A00">
              <w:rPr>
                <w:b/>
                <w:sz w:val="22"/>
                <w:lang w:val="hu-HU"/>
              </w:rPr>
              <w:t>OPPORTUNITY STARTUP</w:t>
            </w:r>
          </w:p>
        </w:tc>
        <w:tc>
          <w:tcPr>
            <w:tcW w:w="340" w:type="pct"/>
            <w:gridSpan w:val="2"/>
            <w:tcBorders>
              <w:top w:val="single" w:sz="8" w:space="0" w:color="000000"/>
              <w:left w:val="nil"/>
              <w:bottom w:val="single" w:sz="8" w:space="0" w:color="000000"/>
              <w:right w:val="single" w:sz="8" w:space="0" w:color="000000"/>
            </w:tcBorders>
            <w:shd w:val="pct10" w:color="auto" w:fill="auto"/>
            <w:textDirection w:val="tbRl"/>
            <w:vAlign w:val="center"/>
            <w:hideMark/>
          </w:tcPr>
          <w:p w14:paraId="02960218" w14:textId="77777777" w:rsidR="00405CB2" w:rsidRPr="00220A00" w:rsidRDefault="00405CB2" w:rsidP="00220A00">
            <w:pPr>
              <w:spacing w:line="276" w:lineRule="auto"/>
              <w:jc w:val="center"/>
              <w:rPr>
                <w:rFonts w:eastAsia="Times New Roman"/>
                <w:b/>
                <w:sz w:val="22"/>
                <w:lang w:val="hu-HU"/>
              </w:rPr>
            </w:pPr>
            <w:r w:rsidRPr="00220A00">
              <w:rPr>
                <w:b/>
                <w:sz w:val="22"/>
                <w:lang w:val="hu-HU"/>
              </w:rPr>
              <w:t>TECHNOLOGY ABSORPTION</w:t>
            </w:r>
          </w:p>
        </w:tc>
        <w:tc>
          <w:tcPr>
            <w:tcW w:w="340" w:type="pct"/>
            <w:gridSpan w:val="2"/>
            <w:tcBorders>
              <w:top w:val="single" w:sz="8" w:space="0" w:color="000000"/>
              <w:left w:val="nil"/>
              <w:bottom w:val="single" w:sz="8" w:space="0" w:color="000000"/>
              <w:right w:val="single" w:sz="8" w:space="0" w:color="000000"/>
            </w:tcBorders>
            <w:shd w:val="pct10" w:color="auto" w:fill="auto"/>
            <w:textDirection w:val="tbRl"/>
            <w:vAlign w:val="center"/>
            <w:hideMark/>
          </w:tcPr>
          <w:p w14:paraId="4FDB0585" w14:textId="77777777" w:rsidR="00405CB2" w:rsidRPr="00220A00" w:rsidRDefault="00405CB2" w:rsidP="00220A00">
            <w:pPr>
              <w:spacing w:line="276" w:lineRule="auto"/>
              <w:jc w:val="center"/>
              <w:rPr>
                <w:rFonts w:eastAsia="Times New Roman"/>
                <w:b/>
                <w:sz w:val="22"/>
                <w:lang w:val="hu-HU"/>
              </w:rPr>
            </w:pPr>
            <w:r w:rsidRPr="00220A00">
              <w:rPr>
                <w:b/>
                <w:sz w:val="22"/>
                <w:lang w:val="hu-HU"/>
              </w:rPr>
              <w:t>HUMAN CAPITAL</w:t>
            </w:r>
          </w:p>
        </w:tc>
        <w:tc>
          <w:tcPr>
            <w:tcW w:w="342" w:type="pct"/>
            <w:gridSpan w:val="2"/>
            <w:tcBorders>
              <w:top w:val="single" w:sz="8" w:space="0" w:color="000000"/>
              <w:left w:val="nil"/>
              <w:bottom w:val="single" w:sz="8" w:space="0" w:color="000000"/>
              <w:right w:val="nil"/>
            </w:tcBorders>
            <w:shd w:val="pct10" w:color="auto" w:fill="auto"/>
            <w:textDirection w:val="tbRl"/>
            <w:vAlign w:val="center"/>
            <w:hideMark/>
          </w:tcPr>
          <w:p w14:paraId="206F9F01" w14:textId="77777777" w:rsidR="00405CB2" w:rsidRPr="00220A00" w:rsidRDefault="00405CB2" w:rsidP="00220A00">
            <w:pPr>
              <w:spacing w:line="276" w:lineRule="auto"/>
              <w:jc w:val="center"/>
              <w:rPr>
                <w:rFonts w:eastAsia="Times New Roman"/>
                <w:b/>
                <w:sz w:val="22"/>
                <w:lang w:val="hu-HU"/>
              </w:rPr>
            </w:pPr>
            <w:r w:rsidRPr="00220A00">
              <w:rPr>
                <w:b/>
                <w:sz w:val="22"/>
                <w:lang w:val="hu-HU"/>
              </w:rPr>
              <w:t>COMPETITION</w:t>
            </w:r>
          </w:p>
        </w:tc>
        <w:tc>
          <w:tcPr>
            <w:tcW w:w="127" w:type="pct"/>
            <w:tcBorders>
              <w:top w:val="nil"/>
              <w:left w:val="single" w:sz="8" w:space="0" w:color="auto"/>
              <w:bottom w:val="nil"/>
              <w:right w:val="single" w:sz="8" w:space="0" w:color="000000"/>
            </w:tcBorders>
            <w:textDirection w:val="tbRl"/>
            <w:vAlign w:val="center"/>
          </w:tcPr>
          <w:p w14:paraId="7533B21E" w14:textId="77777777" w:rsidR="00405CB2" w:rsidRPr="00220A00" w:rsidRDefault="00405CB2" w:rsidP="00220A00">
            <w:pPr>
              <w:spacing w:line="276" w:lineRule="auto"/>
              <w:jc w:val="center"/>
              <w:rPr>
                <w:rFonts w:eastAsia="Times New Roman"/>
                <w:b/>
                <w:sz w:val="22"/>
                <w:lang w:val="hu-HU"/>
              </w:rPr>
            </w:pPr>
          </w:p>
        </w:tc>
        <w:tc>
          <w:tcPr>
            <w:tcW w:w="342" w:type="pct"/>
            <w:gridSpan w:val="2"/>
            <w:tcBorders>
              <w:top w:val="single" w:sz="8" w:space="0" w:color="000000"/>
              <w:left w:val="nil"/>
              <w:bottom w:val="single" w:sz="8" w:space="0" w:color="000000"/>
              <w:right w:val="nil"/>
            </w:tcBorders>
            <w:shd w:val="pct10" w:color="auto" w:fill="auto"/>
            <w:textDirection w:val="tbRl"/>
            <w:vAlign w:val="center"/>
            <w:hideMark/>
          </w:tcPr>
          <w:p w14:paraId="5B45110C" w14:textId="77777777" w:rsidR="00405CB2" w:rsidRPr="00220A00" w:rsidRDefault="00405CB2" w:rsidP="00220A00">
            <w:pPr>
              <w:spacing w:line="276" w:lineRule="auto"/>
              <w:jc w:val="center"/>
              <w:rPr>
                <w:rFonts w:eastAsia="Times New Roman"/>
                <w:b/>
                <w:sz w:val="22"/>
                <w:lang w:val="hu-HU"/>
              </w:rPr>
            </w:pPr>
            <w:r w:rsidRPr="00220A00">
              <w:rPr>
                <w:b/>
                <w:sz w:val="22"/>
                <w:lang w:val="hu-HU"/>
              </w:rPr>
              <w:t>PRODUCT INNOVATION</w:t>
            </w:r>
          </w:p>
        </w:tc>
        <w:tc>
          <w:tcPr>
            <w:tcW w:w="334" w:type="pct"/>
            <w:gridSpan w:val="2"/>
            <w:tcBorders>
              <w:top w:val="single" w:sz="8" w:space="0" w:color="000000"/>
              <w:left w:val="single" w:sz="8" w:space="0" w:color="000000"/>
              <w:bottom w:val="single" w:sz="8" w:space="0" w:color="000000"/>
              <w:right w:val="nil"/>
            </w:tcBorders>
            <w:shd w:val="pct10" w:color="auto" w:fill="auto"/>
            <w:textDirection w:val="tbRl"/>
            <w:vAlign w:val="center"/>
            <w:hideMark/>
          </w:tcPr>
          <w:p w14:paraId="03ABE5A2" w14:textId="77777777" w:rsidR="00405CB2" w:rsidRPr="00220A00" w:rsidRDefault="00405CB2" w:rsidP="00220A00">
            <w:pPr>
              <w:spacing w:line="276" w:lineRule="auto"/>
              <w:jc w:val="center"/>
              <w:rPr>
                <w:rFonts w:eastAsia="Times New Roman"/>
                <w:b/>
                <w:sz w:val="22"/>
                <w:lang w:val="hu-HU"/>
              </w:rPr>
            </w:pPr>
            <w:r w:rsidRPr="00220A00">
              <w:rPr>
                <w:b/>
                <w:sz w:val="22"/>
                <w:lang w:val="hu-HU"/>
              </w:rPr>
              <w:t>PROCESS INNOVATION</w:t>
            </w:r>
          </w:p>
        </w:tc>
        <w:tc>
          <w:tcPr>
            <w:tcW w:w="342" w:type="pct"/>
            <w:gridSpan w:val="2"/>
            <w:tcBorders>
              <w:top w:val="single" w:sz="8" w:space="0" w:color="000000"/>
              <w:left w:val="single" w:sz="8" w:space="0" w:color="000000"/>
              <w:bottom w:val="single" w:sz="8" w:space="0" w:color="000000"/>
              <w:right w:val="nil"/>
            </w:tcBorders>
            <w:shd w:val="pct10" w:color="auto" w:fill="auto"/>
            <w:textDirection w:val="tbRl"/>
            <w:vAlign w:val="center"/>
            <w:hideMark/>
          </w:tcPr>
          <w:p w14:paraId="74953D62" w14:textId="77777777" w:rsidR="00405CB2" w:rsidRPr="00220A00" w:rsidRDefault="00405CB2" w:rsidP="00220A00">
            <w:pPr>
              <w:spacing w:line="276" w:lineRule="auto"/>
              <w:jc w:val="center"/>
              <w:rPr>
                <w:rFonts w:eastAsia="Times New Roman"/>
                <w:b/>
                <w:sz w:val="22"/>
                <w:lang w:val="hu-HU"/>
              </w:rPr>
            </w:pPr>
            <w:r w:rsidRPr="00220A00">
              <w:rPr>
                <w:b/>
                <w:sz w:val="22"/>
                <w:lang w:val="hu-HU"/>
              </w:rPr>
              <w:t>HIGH GROWTH</w:t>
            </w:r>
          </w:p>
        </w:tc>
        <w:tc>
          <w:tcPr>
            <w:tcW w:w="342" w:type="pct"/>
            <w:gridSpan w:val="2"/>
            <w:tcBorders>
              <w:top w:val="single" w:sz="8" w:space="0" w:color="000000"/>
              <w:left w:val="single" w:sz="8" w:space="0" w:color="000000"/>
              <w:bottom w:val="single" w:sz="8" w:space="0" w:color="000000"/>
              <w:right w:val="nil"/>
            </w:tcBorders>
            <w:shd w:val="pct10" w:color="auto" w:fill="auto"/>
            <w:textDirection w:val="tbRl"/>
            <w:vAlign w:val="center"/>
            <w:hideMark/>
          </w:tcPr>
          <w:p w14:paraId="1C60C806" w14:textId="77777777" w:rsidR="00405CB2" w:rsidRPr="00220A00" w:rsidRDefault="00405CB2" w:rsidP="00220A00">
            <w:pPr>
              <w:spacing w:line="276" w:lineRule="auto"/>
              <w:jc w:val="center"/>
              <w:rPr>
                <w:rFonts w:eastAsia="Times New Roman"/>
                <w:b/>
                <w:sz w:val="22"/>
                <w:lang w:val="hu-HU"/>
              </w:rPr>
            </w:pPr>
            <w:r w:rsidRPr="00220A00">
              <w:rPr>
                <w:b/>
                <w:sz w:val="22"/>
                <w:lang w:val="hu-HU"/>
              </w:rPr>
              <w:t>INTERNATIONALI-</w:t>
            </w:r>
            <w:r w:rsidRPr="00220A00">
              <w:rPr>
                <w:b/>
                <w:sz w:val="22"/>
                <w:lang w:val="hu-HU"/>
              </w:rPr>
              <w:br/>
              <w:t>ZATION</w:t>
            </w:r>
          </w:p>
        </w:tc>
        <w:tc>
          <w:tcPr>
            <w:tcW w:w="334" w:type="pct"/>
            <w:gridSpan w:val="2"/>
            <w:tcBorders>
              <w:top w:val="single" w:sz="8" w:space="0" w:color="000000"/>
              <w:left w:val="single" w:sz="8" w:space="0" w:color="000000"/>
              <w:bottom w:val="single" w:sz="8" w:space="0" w:color="000000"/>
              <w:right w:val="single" w:sz="8" w:space="0" w:color="000000"/>
            </w:tcBorders>
            <w:shd w:val="pct10" w:color="auto" w:fill="auto"/>
            <w:textDirection w:val="tbRl"/>
            <w:vAlign w:val="center"/>
            <w:hideMark/>
          </w:tcPr>
          <w:p w14:paraId="47E6458D" w14:textId="77777777" w:rsidR="00405CB2" w:rsidRPr="00220A00" w:rsidRDefault="00405CB2" w:rsidP="00220A00">
            <w:pPr>
              <w:spacing w:line="276" w:lineRule="auto"/>
              <w:jc w:val="center"/>
              <w:rPr>
                <w:rFonts w:eastAsia="Times New Roman"/>
                <w:b/>
                <w:sz w:val="22"/>
                <w:lang w:val="hu-HU"/>
              </w:rPr>
            </w:pPr>
            <w:r w:rsidRPr="00220A00">
              <w:rPr>
                <w:b/>
                <w:sz w:val="22"/>
                <w:lang w:val="hu-HU"/>
              </w:rPr>
              <w:t>RISK CAPITAL</w:t>
            </w:r>
          </w:p>
        </w:tc>
      </w:tr>
      <w:tr w:rsidR="008446DF" w14:paraId="4F44C633" w14:textId="77777777" w:rsidTr="00784826">
        <w:trPr>
          <w:cantSplit/>
          <w:trHeight w:val="2059"/>
        </w:trPr>
        <w:tc>
          <w:tcPr>
            <w:tcW w:w="169" w:type="pct"/>
            <w:tcBorders>
              <w:top w:val="single" w:sz="8" w:space="0" w:color="000000"/>
              <w:left w:val="single" w:sz="8" w:space="0" w:color="000000"/>
              <w:bottom w:val="single" w:sz="8" w:space="0" w:color="000000"/>
              <w:right w:val="nil"/>
            </w:tcBorders>
            <w:shd w:val="clear" w:color="auto" w:fill="BFBFBF"/>
            <w:textDirection w:val="tbRl"/>
            <w:vAlign w:val="center"/>
            <w:hideMark/>
          </w:tcPr>
          <w:p w14:paraId="72BCA417" w14:textId="77777777" w:rsidR="00405CB2" w:rsidRPr="00220A00" w:rsidRDefault="00405CB2" w:rsidP="008446DF">
            <w:pPr>
              <w:spacing w:line="276" w:lineRule="auto"/>
              <w:ind w:left="113" w:right="113"/>
              <w:jc w:val="center"/>
              <w:rPr>
                <w:rFonts w:eastAsia="Times New Roman"/>
                <w:b/>
                <w:bCs/>
                <w:sz w:val="19"/>
                <w:szCs w:val="19"/>
                <w:lang w:val="hu-HU"/>
              </w:rPr>
            </w:pPr>
            <w:r w:rsidRPr="00220A00">
              <w:rPr>
                <w:b/>
                <w:bCs/>
                <w:color w:val="FF0000"/>
                <w:sz w:val="19"/>
                <w:szCs w:val="19"/>
                <w:lang w:val="hu-HU"/>
              </w:rPr>
              <w:t>FREEDOM</w:t>
            </w:r>
          </w:p>
        </w:tc>
        <w:tc>
          <w:tcPr>
            <w:tcW w:w="169" w:type="pct"/>
            <w:tcBorders>
              <w:top w:val="single" w:sz="8" w:space="0" w:color="000000"/>
              <w:left w:val="nil"/>
              <w:bottom w:val="single" w:sz="8" w:space="0" w:color="000000"/>
              <w:right w:val="single" w:sz="8" w:space="0" w:color="000000"/>
            </w:tcBorders>
            <w:textDirection w:val="tbRl"/>
            <w:vAlign w:val="center"/>
            <w:hideMark/>
          </w:tcPr>
          <w:p w14:paraId="49F00E6D" w14:textId="77777777" w:rsidR="00405CB2" w:rsidRPr="00220A00" w:rsidRDefault="00405CB2" w:rsidP="008446DF">
            <w:pPr>
              <w:spacing w:line="276" w:lineRule="auto"/>
              <w:ind w:left="113" w:right="113"/>
              <w:jc w:val="center"/>
              <w:rPr>
                <w:rFonts w:eastAsia="Times New Roman"/>
                <w:b/>
                <w:bCs/>
                <w:i/>
                <w:iCs/>
                <w:sz w:val="19"/>
                <w:szCs w:val="19"/>
                <w:lang w:val="hu-HU"/>
              </w:rPr>
            </w:pPr>
            <w:r w:rsidRPr="00220A00">
              <w:rPr>
                <w:b/>
                <w:bCs/>
                <w:i/>
                <w:iCs/>
                <w:sz w:val="19"/>
                <w:szCs w:val="19"/>
                <w:lang w:val="hu-HU"/>
              </w:rPr>
              <w:t>OPPORTUNITY</w:t>
            </w:r>
          </w:p>
        </w:tc>
        <w:tc>
          <w:tcPr>
            <w:tcW w:w="169" w:type="pct"/>
            <w:tcBorders>
              <w:top w:val="single" w:sz="8" w:space="0" w:color="000000"/>
              <w:left w:val="single" w:sz="8" w:space="0" w:color="000000"/>
              <w:bottom w:val="single" w:sz="8" w:space="0" w:color="000000"/>
              <w:right w:val="nil"/>
            </w:tcBorders>
            <w:shd w:val="clear" w:color="auto" w:fill="BFBFBF"/>
            <w:textDirection w:val="tbRl"/>
            <w:vAlign w:val="center"/>
            <w:hideMark/>
          </w:tcPr>
          <w:p w14:paraId="1966400B" w14:textId="77777777" w:rsidR="00405CB2" w:rsidRPr="00220A00" w:rsidRDefault="00405CB2" w:rsidP="008446DF">
            <w:pPr>
              <w:spacing w:line="276" w:lineRule="auto"/>
              <w:ind w:left="113" w:right="113"/>
              <w:jc w:val="center"/>
              <w:rPr>
                <w:rFonts w:eastAsia="Times New Roman"/>
                <w:b/>
                <w:bCs/>
                <w:sz w:val="19"/>
                <w:szCs w:val="19"/>
                <w:lang w:val="hu-HU"/>
              </w:rPr>
            </w:pPr>
            <w:r w:rsidRPr="00220A00">
              <w:rPr>
                <w:b/>
                <w:bCs/>
                <w:color w:val="FF0000"/>
                <w:sz w:val="19"/>
                <w:szCs w:val="19"/>
                <w:lang w:val="hu-HU"/>
              </w:rPr>
              <w:t>EDUCATION QUALITY</w:t>
            </w:r>
          </w:p>
        </w:tc>
        <w:tc>
          <w:tcPr>
            <w:tcW w:w="169" w:type="pct"/>
            <w:tcBorders>
              <w:top w:val="single" w:sz="8" w:space="0" w:color="000000"/>
              <w:left w:val="nil"/>
              <w:bottom w:val="single" w:sz="8" w:space="0" w:color="000000"/>
              <w:right w:val="single" w:sz="8" w:space="0" w:color="000000"/>
            </w:tcBorders>
            <w:textDirection w:val="tbRl"/>
            <w:vAlign w:val="center"/>
            <w:hideMark/>
          </w:tcPr>
          <w:p w14:paraId="02B3B4AD" w14:textId="77777777" w:rsidR="00405CB2" w:rsidRPr="00220A00" w:rsidRDefault="00405CB2" w:rsidP="008446DF">
            <w:pPr>
              <w:spacing w:line="276" w:lineRule="auto"/>
              <w:ind w:left="113" w:right="113"/>
              <w:jc w:val="center"/>
              <w:rPr>
                <w:rFonts w:eastAsia="Times New Roman"/>
                <w:b/>
                <w:bCs/>
                <w:i/>
                <w:iCs/>
                <w:sz w:val="19"/>
                <w:szCs w:val="19"/>
                <w:lang w:val="hu-HU"/>
              </w:rPr>
            </w:pPr>
            <w:r w:rsidRPr="00220A00">
              <w:rPr>
                <w:b/>
                <w:bCs/>
                <w:i/>
                <w:iCs/>
                <w:sz w:val="19"/>
                <w:szCs w:val="19"/>
                <w:lang w:val="hu-HU"/>
              </w:rPr>
              <w:t>SKILL</w:t>
            </w:r>
          </w:p>
        </w:tc>
        <w:tc>
          <w:tcPr>
            <w:tcW w:w="169" w:type="pct"/>
            <w:tcBorders>
              <w:top w:val="single" w:sz="8" w:space="0" w:color="000000"/>
              <w:left w:val="single" w:sz="8" w:space="0" w:color="000000"/>
              <w:bottom w:val="single" w:sz="8" w:space="0" w:color="000000"/>
              <w:right w:val="nil"/>
            </w:tcBorders>
            <w:shd w:val="clear" w:color="auto" w:fill="BFBFBF"/>
            <w:textDirection w:val="tbRl"/>
            <w:vAlign w:val="center"/>
            <w:hideMark/>
          </w:tcPr>
          <w:p w14:paraId="4326F9AF" w14:textId="77777777" w:rsidR="00405CB2" w:rsidRPr="00220A00" w:rsidRDefault="00405CB2" w:rsidP="008446DF">
            <w:pPr>
              <w:spacing w:line="276" w:lineRule="auto"/>
              <w:ind w:left="113" w:right="113"/>
              <w:jc w:val="center"/>
              <w:rPr>
                <w:rFonts w:eastAsia="Times New Roman"/>
                <w:b/>
                <w:bCs/>
                <w:sz w:val="19"/>
                <w:szCs w:val="19"/>
                <w:lang w:val="hu-HU"/>
              </w:rPr>
            </w:pPr>
            <w:r w:rsidRPr="00220A00">
              <w:rPr>
                <w:b/>
                <w:bCs/>
                <w:sz w:val="19"/>
                <w:szCs w:val="19"/>
                <w:lang w:val="hu-HU"/>
              </w:rPr>
              <w:t>BUSINESS RISK</w:t>
            </w:r>
          </w:p>
        </w:tc>
        <w:tc>
          <w:tcPr>
            <w:tcW w:w="169" w:type="pct"/>
            <w:tcBorders>
              <w:top w:val="single" w:sz="8" w:space="0" w:color="000000"/>
              <w:left w:val="nil"/>
              <w:bottom w:val="single" w:sz="8" w:space="0" w:color="000000"/>
              <w:right w:val="single" w:sz="8" w:space="0" w:color="000000"/>
            </w:tcBorders>
            <w:textDirection w:val="tbRl"/>
            <w:vAlign w:val="center"/>
            <w:hideMark/>
          </w:tcPr>
          <w:p w14:paraId="49458831" w14:textId="77777777" w:rsidR="00405CB2" w:rsidRPr="00220A00" w:rsidRDefault="00405CB2" w:rsidP="008446DF">
            <w:pPr>
              <w:spacing w:line="276" w:lineRule="auto"/>
              <w:ind w:left="113" w:right="113"/>
              <w:jc w:val="center"/>
              <w:rPr>
                <w:rFonts w:eastAsia="Times New Roman"/>
                <w:b/>
                <w:bCs/>
                <w:i/>
                <w:iCs/>
                <w:sz w:val="19"/>
                <w:szCs w:val="19"/>
                <w:lang w:val="hu-HU"/>
              </w:rPr>
            </w:pPr>
            <w:r w:rsidRPr="00220A00">
              <w:rPr>
                <w:b/>
                <w:bCs/>
                <w:i/>
                <w:iCs/>
                <w:sz w:val="19"/>
                <w:szCs w:val="19"/>
                <w:lang w:val="hu-HU"/>
              </w:rPr>
              <w:t>RISK ACCPTANCE</w:t>
            </w:r>
          </w:p>
        </w:tc>
        <w:tc>
          <w:tcPr>
            <w:tcW w:w="169" w:type="pct"/>
            <w:tcBorders>
              <w:top w:val="single" w:sz="8" w:space="0" w:color="000000"/>
              <w:left w:val="single" w:sz="8" w:space="0" w:color="000000"/>
              <w:bottom w:val="single" w:sz="8" w:space="0" w:color="000000"/>
              <w:right w:val="nil"/>
            </w:tcBorders>
            <w:shd w:val="clear" w:color="auto" w:fill="BFBFBF"/>
            <w:textDirection w:val="tbRl"/>
            <w:vAlign w:val="center"/>
            <w:hideMark/>
          </w:tcPr>
          <w:p w14:paraId="0B869393" w14:textId="77777777" w:rsidR="00405CB2" w:rsidRPr="00220A00" w:rsidRDefault="00405CB2" w:rsidP="008446DF">
            <w:pPr>
              <w:spacing w:line="276" w:lineRule="auto"/>
              <w:ind w:left="113" w:right="113"/>
              <w:jc w:val="center"/>
              <w:rPr>
                <w:rFonts w:eastAsia="Times New Roman"/>
                <w:b/>
                <w:bCs/>
                <w:sz w:val="19"/>
                <w:szCs w:val="19"/>
                <w:lang w:val="hu-HU"/>
              </w:rPr>
            </w:pPr>
            <w:r w:rsidRPr="00220A00">
              <w:rPr>
                <w:b/>
                <w:bCs/>
                <w:color w:val="FF0000"/>
                <w:sz w:val="19"/>
                <w:szCs w:val="19"/>
                <w:lang w:val="hu-HU"/>
              </w:rPr>
              <w:t>DIGITAL CONECTIVITY</w:t>
            </w:r>
          </w:p>
        </w:tc>
        <w:tc>
          <w:tcPr>
            <w:tcW w:w="169" w:type="pct"/>
            <w:tcBorders>
              <w:top w:val="single" w:sz="8" w:space="0" w:color="000000"/>
              <w:left w:val="nil"/>
              <w:bottom w:val="single" w:sz="8" w:space="0" w:color="000000"/>
              <w:right w:val="single" w:sz="8" w:space="0" w:color="000000"/>
            </w:tcBorders>
            <w:textDirection w:val="tbRl"/>
            <w:vAlign w:val="center"/>
            <w:hideMark/>
          </w:tcPr>
          <w:p w14:paraId="44D824BA" w14:textId="77777777" w:rsidR="00405CB2" w:rsidRPr="00220A00" w:rsidRDefault="00405CB2" w:rsidP="008446DF">
            <w:pPr>
              <w:spacing w:line="276" w:lineRule="auto"/>
              <w:ind w:left="113" w:right="113"/>
              <w:jc w:val="center"/>
              <w:rPr>
                <w:rFonts w:eastAsia="Times New Roman"/>
                <w:b/>
                <w:bCs/>
                <w:i/>
                <w:iCs/>
                <w:sz w:val="19"/>
                <w:szCs w:val="19"/>
                <w:lang w:val="hu-HU"/>
              </w:rPr>
            </w:pPr>
            <w:r w:rsidRPr="00220A00">
              <w:rPr>
                <w:b/>
                <w:bCs/>
                <w:i/>
                <w:iCs/>
                <w:sz w:val="19"/>
                <w:szCs w:val="19"/>
                <w:lang w:val="hu-HU"/>
              </w:rPr>
              <w:t>KNOWENT</w:t>
            </w:r>
          </w:p>
        </w:tc>
        <w:tc>
          <w:tcPr>
            <w:tcW w:w="169" w:type="pct"/>
            <w:tcBorders>
              <w:top w:val="single" w:sz="8" w:space="0" w:color="000000"/>
              <w:left w:val="single" w:sz="8" w:space="0" w:color="000000"/>
              <w:bottom w:val="single" w:sz="8" w:space="0" w:color="000000"/>
              <w:right w:val="nil"/>
            </w:tcBorders>
            <w:shd w:val="clear" w:color="auto" w:fill="BFBFBF"/>
            <w:textDirection w:val="tbRl"/>
            <w:vAlign w:val="center"/>
            <w:hideMark/>
          </w:tcPr>
          <w:p w14:paraId="3305C17F" w14:textId="77777777" w:rsidR="00405CB2" w:rsidRPr="00220A00" w:rsidRDefault="00405CB2" w:rsidP="008446DF">
            <w:pPr>
              <w:spacing w:line="276" w:lineRule="auto"/>
              <w:ind w:left="113" w:right="113"/>
              <w:jc w:val="center"/>
              <w:rPr>
                <w:rFonts w:eastAsia="Times New Roman"/>
                <w:b/>
                <w:bCs/>
                <w:sz w:val="19"/>
                <w:szCs w:val="19"/>
                <w:lang w:val="hu-HU"/>
              </w:rPr>
            </w:pPr>
            <w:r w:rsidRPr="00220A00">
              <w:rPr>
                <w:b/>
                <w:bCs/>
                <w:sz w:val="19"/>
                <w:szCs w:val="19"/>
                <w:lang w:val="hu-HU"/>
              </w:rPr>
              <w:t>CORRUPTION</w:t>
            </w:r>
          </w:p>
        </w:tc>
        <w:tc>
          <w:tcPr>
            <w:tcW w:w="171" w:type="pct"/>
            <w:tcBorders>
              <w:top w:val="single" w:sz="8" w:space="0" w:color="000000"/>
              <w:left w:val="nil"/>
              <w:bottom w:val="single" w:sz="8" w:space="0" w:color="000000"/>
              <w:right w:val="single" w:sz="8" w:space="0" w:color="000000"/>
            </w:tcBorders>
            <w:textDirection w:val="tbRl"/>
            <w:vAlign w:val="center"/>
            <w:hideMark/>
          </w:tcPr>
          <w:p w14:paraId="7EDCFB60" w14:textId="77777777" w:rsidR="00405CB2" w:rsidRPr="00220A00" w:rsidRDefault="00405CB2" w:rsidP="008446DF">
            <w:pPr>
              <w:spacing w:line="276" w:lineRule="auto"/>
              <w:ind w:left="113" w:right="113"/>
              <w:jc w:val="center"/>
              <w:rPr>
                <w:rFonts w:eastAsia="Times New Roman"/>
                <w:b/>
                <w:bCs/>
                <w:i/>
                <w:iCs/>
                <w:sz w:val="19"/>
                <w:szCs w:val="19"/>
                <w:lang w:val="hu-HU"/>
              </w:rPr>
            </w:pPr>
            <w:r w:rsidRPr="00220A00">
              <w:rPr>
                <w:b/>
                <w:bCs/>
                <w:i/>
                <w:iCs/>
                <w:sz w:val="19"/>
                <w:szCs w:val="19"/>
                <w:lang w:val="hu-HU"/>
              </w:rPr>
              <w:t>CARSTAT</w:t>
            </w:r>
          </w:p>
        </w:tc>
        <w:tc>
          <w:tcPr>
            <w:tcW w:w="127" w:type="pct"/>
            <w:tcBorders>
              <w:top w:val="nil"/>
              <w:left w:val="single" w:sz="8" w:space="0" w:color="000000"/>
              <w:bottom w:val="nil"/>
              <w:right w:val="single" w:sz="8" w:space="0" w:color="000000"/>
            </w:tcBorders>
            <w:textDirection w:val="tbRl"/>
            <w:vAlign w:val="center"/>
          </w:tcPr>
          <w:p w14:paraId="7EA494B2" w14:textId="77777777" w:rsidR="00405CB2" w:rsidRPr="00220A00" w:rsidRDefault="00405CB2" w:rsidP="008446DF">
            <w:pPr>
              <w:spacing w:line="276" w:lineRule="auto"/>
              <w:ind w:left="113" w:right="113"/>
              <w:jc w:val="center"/>
              <w:rPr>
                <w:rFonts w:eastAsia="Times New Roman"/>
                <w:b/>
                <w:sz w:val="19"/>
                <w:szCs w:val="19"/>
                <w:lang w:val="hu-HU"/>
              </w:rPr>
            </w:pPr>
          </w:p>
        </w:tc>
        <w:tc>
          <w:tcPr>
            <w:tcW w:w="169" w:type="pct"/>
            <w:tcBorders>
              <w:top w:val="single" w:sz="8" w:space="0" w:color="000000"/>
              <w:left w:val="single" w:sz="8" w:space="0" w:color="000000"/>
              <w:bottom w:val="single" w:sz="8" w:space="0" w:color="000000"/>
              <w:right w:val="nil"/>
            </w:tcBorders>
            <w:shd w:val="clear" w:color="auto" w:fill="BFBFBF"/>
            <w:textDirection w:val="tbRl"/>
            <w:vAlign w:val="center"/>
            <w:hideMark/>
          </w:tcPr>
          <w:p w14:paraId="0AE9766A" w14:textId="77777777" w:rsidR="00405CB2" w:rsidRPr="00220A00" w:rsidRDefault="00405CB2" w:rsidP="008446DF">
            <w:pPr>
              <w:spacing w:line="276" w:lineRule="auto"/>
              <w:ind w:left="113" w:right="113"/>
              <w:jc w:val="center"/>
              <w:rPr>
                <w:rFonts w:eastAsia="Times New Roman"/>
                <w:b/>
                <w:bCs/>
                <w:sz w:val="19"/>
                <w:szCs w:val="19"/>
                <w:lang w:val="hu-HU"/>
              </w:rPr>
            </w:pPr>
            <w:r w:rsidRPr="00220A00">
              <w:rPr>
                <w:b/>
                <w:bCs/>
                <w:color w:val="FF0000"/>
                <w:sz w:val="19"/>
                <w:szCs w:val="19"/>
                <w:lang w:val="hu-HU"/>
              </w:rPr>
              <w:t>TAXATION</w:t>
            </w:r>
          </w:p>
        </w:tc>
        <w:tc>
          <w:tcPr>
            <w:tcW w:w="169" w:type="pct"/>
            <w:tcBorders>
              <w:top w:val="single" w:sz="8" w:space="0" w:color="000000"/>
              <w:left w:val="nil"/>
              <w:bottom w:val="single" w:sz="8" w:space="0" w:color="000000"/>
              <w:right w:val="single" w:sz="8" w:space="0" w:color="000000"/>
            </w:tcBorders>
            <w:textDirection w:val="tbRl"/>
            <w:vAlign w:val="center"/>
            <w:hideMark/>
          </w:tcPr>
          <w:p w14:paraId="39707CD3" w14:textId="77777777" w:rsidR="00405CB2" w:rsidRPr="00220A00" w:rsidRDefault="00405CB2" w:rsidP="008446DF">
            <w:pPr>
              <w:spacing w:line="276" w:lineRule="auto"/>
              <w:ind w:left="113" w:right="113"/>
              <w:jc w:val="center"/>
              <w:rPr>
                <w:rFonts w:eastAsia="Times New Roman"/>
                <w:b/>
                <w:bCs/>
                <w:i/>
                <w:iCs/>
                <w:sz w:val="19"/>
                <w:szCs w:val="19"/>
                <w:lang w:val="hu-HU"/>
              </w:rPr>
            </w:pPr>
            <w:r w:rsidRPr="00220A00">
              <w:rPr>
                <w:b/>
                <w:bCs/>
                <w:i/>
                <w:iCs/>
                <w:sz w:val="19"/>
                <w:szCs w:val="19"/>
                <w:lang w:val="hu-HU"/>
              </w:rPr>
              <w:t>TEAOPPORT</w:t>
            </w:r>
          </w:p>
        </w:tc>
        <w:tc>
          <w:tcPr>
            <w:tcW w:w="170" w:type="pct"/>
            <w:tcBorders>
              <w:top w:val="single" w:sz="8" w:space="0" w:color="000000"/>
              <w:left w:val="single" w:sz="8" w:space="0" w:color="000000"/>
              <w:bottom w:val="single" w:sz="8" w:space="0" w:color="000000"/>
              <w:right w:val="nil"/>
            </w:tcBorders>
            <w:shd w:val="clear" w:color="auto" w:fill="BFBFBF"/>
            <w:textDirection w:val="tbRl"/>
            <w:vAlign w:val="center"/>
            <w:hideMark/>
          </w:tcPr>
          <w:p w14:paraId="2B718CF6" w14:textId="77777777" w:rsidR="00405CB2" w:rsidRPr="00220A00" w:rsidRDefault="00405CB2" w:rsidP="008446DF">
            <w:pPr>
              <w:spacing w:line="276" w:lineRule="auto"/>
              <w:ind w:left="113" w:right="113"/>
              <w:jc w:val="center"/>
              <w:rPr>
                <w:rFonts w:eastAsia="Times New Roman"/>
                <w:b/>
                <w:bCs/>
                <w:sz w:val="19"/>
                <w:szCs w:val="19"/>
                <w:lang w:val="hu-HU"/>
              </w:rPr>
            </w:pPr>
            <w:r w:rsidRPr="00220A00">
              <w:rPr>
                <w:b/>
                <w:bCs/>
                <w:sz w:val="19"/>
                <w:szCs w:val="19"/>
                <w:lang w:val="hu-HU"/>
              </w:rPr>
              <w:t>TECHABSORP</w:t>
            </w:r>
          </w:p>
        </w:tc>
        <w:tc>
          <w:tcPr>
            <w:tcW w:w="170" w:type="pct"/>
            <w:tcBorders>
              <w:top w:val="single" w:sz="8" w:space="0" w:color="000000"/>
              <w:left w:val="nil"/>
              <w:bottom w:val="single" w:sz="8" w:space="0" w:color="000000"/>
              <w:right w:val="single" w:sz="8" w:space="0" w:color="000000"/>
            </w:tcBorders>
            <w:textDirection w:val="tbRl"/>
            <w:vAlign w:val="center"/>
            <w:hideMark/>
          </w:tcPr>
          <w:p w14:paraId="3E3978D5" w14:textId="77777777" w:rsidR="00405CB2" w:rsidRPr="00220A00" w:rsidRDefault="00405CB2" w:rsidP="008446DF">
            <w:pPr>
              <w:spacing w:line="276" w:lineRule="auto"/>
              <w:ind w:left="113" w:right="113"/>
              <w:jc w:val="center"/>
              <w:rPr>
                <w:rFonts w:eastAsia="Times New Roman"/>
                <w:b/>
                <w:bCs/>
                <w:i/>
                <w:iCs/>
                <w:sz w:val="19"/>
                <w:szCs w:val="19"/>
                <w:lang w:val="hu-HU"/>
              </w:rPr>
            </w:pPr>
            <w:r w:rsidRPr="00220A00">
              <w:rPr>
                <w:b/>
                <w:bCs/>
                <w:i/>
                <w:iCs/>
                <w:sz w:val="19"/>
                <w:szCs w:val="19"/>
                <w:lang w:val="hu-HU"/>
              </w:rPr>
              <w:t>TECHSECT</w:t>
            </w:r>
          </w:p>
        </w:tc>
        <w:tc>
          <w:tcPr>
            <w:tcW w:w="170" w:type="pct"/>
            <w:tcBorders>
              <w:top w:val="single" w:sz="8" w:space="0" w:color="000000"/>
              <w:left w:val="single" w:sz="8" w:space="0" w:color="000000"/>
              <w:bottom w:val="single" w:sz="8" w:space="0" w:color="000000"/>
              <w:right w:val="nil"/>
            </w:tcBorders>
            <w:shd w:val="clear" w:color="auto" w:fill="BFBFBF"/>
            <w:textDirection w:val="tbRl"/>
            <w:vAlign w:val="center"/>
            <w:hideMark/>
          </w:tcPr>
          <w:p w14:paraId="3DDD5773" w14:textId="77777777" w:rsidR="00405CB2" w:rsidRPr="00220A00" w:rsidRDefault="00405CB2" w:rsidP="008446DF">
            <w:pPr>
              <w:spacing w:line="276" w:lineRule="auto"/>
              <w:ind w:left="113" w:right="113"/>
              <w:jc w:val="center"/>
              <w:rPr>
                <w:rFonts w:eastAsia="Times New Roman"/>
                <w:b/>
                <w:bCs/>
                <w:sz w:val="19"/>
                <w:szCs w:val="19"/>
                <w:lang w:val="hu-HU"/>
              </w:rPr>
            </w:pPr>
            <w:r w:rsidRPr="00220A00">
              <w:rPr>
                <w:b/>
                <w:bCs/>
                <w:color w:val="FF0000"/>
                <w:sz w:val="19"/>
                <w:szCs w:val="19"/>
                <w:lang w:val="hu-HU"/>
              </w:rPr>
              <w:t>LABOR MARKET</w:t>
            </w:r>
          </w:p>
        </w:tc>
        <w:tc>
          <w:tcPr>
            <w:tcW w:w="170" w:type="pct"/>
            <w:tcBorders>
              <w:top w:val="single" w:sz="8" w:space="0" w:color="000000"/>
              <w:left w:val="nil"/>
              <w:bottom w:val="single" w:sz="8" w:space="0" w:color="000000"/>
              <w:right w:val="single" w:sz="8" w:space="0" w:color="000000"/>
            </w:tcBorders>
            <w:textDirection w:val="tbRl"/>
            <w:vAlign w:val="center"/>
            <w:hideMark/>
          </w:tcPr>
          <w:p w14:paraId="6F70A8F9" w14:textId="77777777" w:rsidR="00405CB2" w:rsidRPr="00220A00" w:rsidRDefault="00405CB2" w:rsidP="008446DF">
            <w:pPr>
              <w:spacing w:line="276" w:lineRule="auto"/>
              <w:ind w:left="113" w:right="113"/>
              <w:jc w:val="center"/>
              <w:rPr>
                <w:rFonts w:eastAsia="Times New Roman"/>
                <w:b/>
                <w:bCs/>
                <w:i/>
                <w:iCs/>
                <w:sz w:val="19"/>
                <w:szCs w:val="19"/>
                <w:lang w:val="hu-HU"/>
              </w:rPr>
            </w:pPr>
            <w:r w:rsidRPr="00220A00">
              <w:rPr>
                <w:b/>
                <w:bCs/>
                <w:i/>
                <w:iCs/>
                <w:sz w:val="19"/>
                <w:szCs w:val="19"/>
                <w:lang w:val="hu-HU"/>
              </w:rPr>
              <w:t>HIGHEDUC</w:t>
            </w:r>
          </w:p>
        </w:tc>
        <w:tc>
          <w:tcPr>
            <w:tcW w:w="170" w:type="pct"/>
            <w:tcBorders>
              <w:top w:val="single" w:sz="8" w:space="0" w:color="000000"/>
              <w:left w:val="single" w:sz="8" w:space="0" w:color="000000"/>
              <w:bottom w:val="single" w:sz="8" w:space="0" w:color="000000"/>
              <w:right w:val="nil"/>
            </w:tcBorders>
            <w:shd w:val="clear" w:color="auto" w:fill="BFBFBF"/>
            <w:textDirection w:val="tbRl"/>
            <w:vAlign w:val="center"/>
            <w:hideMark/>
          </w:tcPr>
          <w:p w14:paraId="500F3C43" w14:textId="77777777" w:rsidR="00405CB2" w:rsidRPr="00220A00" w:rsidRDefault="00405CB2" w:rsidP="008446DF">
            <w:pPr>
              <w:spacing w:line="276" w:lineRule="auto"/>
              <w:ind w:left="113" w:right="113"/>
              <w:jc w:val="center"/>
              <w:rPr>
                <w:rFonts w:eastAsia="Times New Roman"/>
                <w:b/>
                <w:bCs/>
                <w:sz w:val="19"/>
                <w:szCs w:val="19"/>
                <w:lang w:val="hu-HU"/>
              </w:rPr>
            </w:pPr>
            <w:r w:rsidRPr="00220A00">
              <w:rPr>
                <w:b/>
                <w:bCs/>
                <w:sz w:val="19"/>
                <w:szCs w:val="19"/>
                <w:lang w:val="hu-HU"/>
              </w:rPr>
              <w:t>MARKDOM</w:t>
            </w:r>
          </w:p>
        </w:tc>
        <w:tc>
          <w:tcPr>
            <w:tcW w:w="172" w:type="pct"/>
            <w:tcBorders>
              <w:top w:val="single" w:sz="8" w:space="0" w:color="000000"/>
              <w:left w:val="nil"/>
              <w:bottom w:val="single" w:sz="8" w:space="0" w:color="000000"/>
              <w:right w:val="single" w:sz="8" w:space="0" w:color="000000"/>
            </w:tcBorders>
            <w:textDirection w:val="tbRl"/>
            <w:vAlign w:val="center"/>
            <w:hideMark/>
          </w:tcPr>
          <w:p w14:paraId="7387AE14" w14:textId="77777777" w:rsidR="00405CB2" w:rsidRPr="00220A00" w:rsidRDefault="00405CB2" w:rsidP="008446DF">
            <w:pPr>
              <w:spacing w:line="276" w:lineRule="auto"/>
              <w:ind w:left="113" w:right="113"/>
              <w:jc w:val="center"/>
              <w:rPr>
                <w:rFonts w:eastAsia="Times New Roman"/>
                <w:b/>
                <w:bCs/>
                <w:i/>
                <w:iCs/>
                <w:sz w:val="19"/>
                <w:szCs w:val="19"/>
                <w:lang w:val="hu-HU"/>
              </w:rPr>
            </w:pPr>
            <w:r w:rsidRPr="00220A00">
              <w:rPr>
                <w:b/>
                <w:bCs/>
                <w:i/>
                <w:iCs/>
                <w:sz w:val="19"/>
                <w:szCs w:val="19"/>
                <w:lang w:val="hu-HU"/>
              </w:rPr>
              <w:t>COMPET</w:t>
            </w:r>
          </w:p>
        </w:tc>
        <w:tc>
          <w:tcPr>
            <w:tcW w:w="127" w:type="pct"/>
            <w:tcBorders>
              <w:top w:val="nil"/>
              <w:left w:val="single" w:sz="8" w:space="0" w:color="000000"/>
              <w:bottom w:val="nil"/>
              <w:right w:val="single" w:sz="8" w:space="0" w:color="000000"/>
            </w:tcBorders>
            <w:textDirection w:val="tbRl"/>
            <w:vAlign w:val="center"/>
          </w:tcPr>
          <w:p w14:paraId="372E2A01" w14:textId="77777777" w:rsidR="00405CB2" w:rsidRPr="00220A00" w:rsidRDefault="00405CB2" w:rsidP="008446DF">
            <w:pPr>
              <w:spacing w:line="276" w:lineRule="auto"/>
              <w:ind w:left="113" w:right="113"/>
              <w:jc w:val="center"/>
              <w:rPr>
                <w:rFonts w:eastAsia="Times New Roman"/>
                <w:b/>
                <w:bCs/>
                <w:sz w:val="19"/>
                <w:szCs w:val="19"/>
                <w:lang w:val="hu-HU"/>
              </w:rPr>
            </w:pPr>
          </w:p>
        </w:tc>
        <w:tc>
          <w:tcPr>
            <w:tcW w:w="171" w:type="pct"/>
            <w:tcBorders>
              <w:top w:val="single" w:sz="8" w:space="0" w:color="000000"/>
              <w:left w:val="single" w:sz="8" w:space="0" w:color="000000"/>
              <w:bottom w:val="single" w:sz="8" w:space="0" w:color="000000"/>
              <w:right w:val="nil"/>
            </w:tcBorders>
            <w:shd w:val="clear" w:color="auto" w:fill="BFBFBF"/>
            <w:textDirection w:val="tbRl"/>
            <w:vAlign w:val="center"/>
            <w:hideMark/>
          </w:tcPr>
          <w:p w14:paraId="010E420E" w14:textId="77777777" w:rsidR="00405CB2" w:rsidRPr="00220A00" w:rsidRDefault="00405CB2" w:rsidP="008446DF">
            <w:pPr>
              <w:spacing w:line="276" w:lineRule="auto"/>
              <w:ind w:left="113" w:right="113"/>
              <w:jc w:val="center"/>
              <w:rPr>
                <w:rFonts w:eastAsia="Times New Roman"/>
                <w:b/>
                <w:bCs/>
                <w:sz w:val="19"/>
                <w:szCs w:val="19"/>
                <w:lang w:val="hu-HU"/>
              </w:rPr>
            </w:pPr>
            <w:r w:rsidRPr="00220A00">
              <w:rPr>
                <w:b/>
                <w:bCs/>
                <w:sz w:val="19"/>
                <w:szCs w:val="19"/>
                <w:lang w:val="hu-HU"/>
              </w:rPr>
              <w:t>TECHTRANSFER</w:t>
            </w:r>
          </w:p>
        </w:tc>
        <w:tc>
          <w:tcPr>
            <w:tcW w:w="171" w:type="pct"/>
            <w:tcBorders>
              <w:top w:val="single" w:sz="8" w:space="0" w:color="000000"/>
              <w:left w:val="nil"/>
              <w:bottom w:val="single" w:sz="8" w:space="0" w:color="000000"/>
              <w:right w:val="single" w:sz="8" w:space="0" w:color="000000"/>
            </w:tcBorders>
            <w:textDirection w:val="tbRl"/>
            <w:vAlign w:val="center"/>
            <w:hideMark/>
          </w:tcPr>
          <w:p w14:paraId="1B08D6D3" w14:textId="77777777" w:rsidR="00405CB2" w:rsidRPr="00220A00" w:rsidRDefault="00405CB2" w:rsidP="008446DF">
            <w:pPr>
              <w:spacing w:line="276" w:lineRule="auto"/>
              <w:ind w:left="113" w:right="113"/>
              <w:jc w:val="center"/>
              <w:rPr>
                <w:rFonts w:eastAsia="Times New Roman"/>
                <w:b/>
                <w:bCs/>
                <w:i/>
                <w:iCs/>
                <w:sz w:val="19"/>
                <w:szCs w:val="19"/>
                <w:lang w:val="hu-HU"/>
              </w:rPr>
            </w:pPr>
            <w:r w:rsidRPr="00220A00">
              <w:rPr>
                <w:b/>
                <w:bCs/>
                <w:i/>
                <w:iCs/>
                <w:sz w:val="19"/>
                <w:szCs w:val="19"/>
                <w:lang w:val="hu-HU"/>
              </w:rPr>
              <w:t>NEWP</w:t>
            </w:r>
          </w:p>
        </w:tc>
        <w:tc>
          <w:tcPr>
            <w:tcW w:w="207" w:type="pct"/>
            <w:tcBorders>
              <w:top w:val="single" w:sz="8" w:space="0" w:color="000000"/>
              <w:left w:val="single" w:sz="8" w:space="0" w:color="000000"/>
              <w:bottom w:val="single" w:sz="8" w:space="0" w:color="000000"/>
              <w:right w:val="nil"/>
            </w:tcBorders>
            <w:shd w:val="clear" w:color="auto" w:fill="BFBFBF"/>
            <w:textDirection w:val="tbRl"/>
            <w:vAlign w:val="center"/>
            <w:hideMark/>
          </w:tcPr>
          <w:p w14:paraId="3D2617EC" w14:textId="77777777" w:rsidR="00405CB2" w:rsidRPr="00220A00" w:rsidRDefault="00405CB2" w:rsidP="008446DF">
            <w:pPr>
              <w:spacing w:line="240" w:lineRule="auto"/>
              <w:ind w:left="113" w:right="113"/>
              <w:jc w:val="center"/>
              <w:rPr>
                <w:rFonts w:eastAsia="Times New Roman"/>
                <w:b/>
                <w:bCs/>
                <w:color w:val="FF0000"/>
                <w:sz w:val="19"/>
                <w:szCs w:val="19"/>
                <w:lang w:val="hu-HU"/>
              </w:rPr>
            </w:pPr>
            <w:r w:rsidRPr="00220A00">
              <w:rPr>
                <w:b/>
                <w:bCs/>
                <w:sz w:val="19"/>
                <w:szCs w:val="19"/>
                <w:lang w:val="hu-HU"/>
              </w:rPr>
              <w:t>GERD/</w:t>
            </w:r>
            <w:r w:rsidRPr="00220A00">
              <w:rPr>
                <w:b/>
                <w:bCs/>
                <w:color w:val="FF0000"/>
                <w:sz w:val="19"/>
                <w:szCs w:val="19"/>
                <w:lang w:val="hu-HU"/>
              </w:rPr>
              <w:t>QUALTY OF SCIENTIST</w:t>
            </w:r>
          </w:p>
        </w:tc>
        <w:tc>
          <w:tcPr>
            <w:tcW w:w="127" w:type="pct"/>
            <w:tcBorders>
              <w:top w:val="single" w:sz="8" w:space="0" w:color="000000"/>
              <w:left w:val="nil"/>
              <w:bottom w:val="single" w:sz="8" w:space="0" w:color="000000"/>
              <w:right w:val="single" w:sz="8" w:space="0" w:color="000000"/>
            </w:tcBorders>
            <w:textDirection w:val="tbRl"/>
            <w:vAlign w:val="center"/>
            <w:hideMark/>
          </w:tcPr>
          <w:p w14:paraId="797091B5" w14:textId="77777777" w:rsidR="00405CB2" w:rsidRPr="00220A00" w:rsidRDefault="00405CB2" w:rsidP="008446DF">
            <w:pPr>
              <w:spacing w:line="276" w:lineRule="auto"/>
              <w:ind w:left="113" w:right="113"/>
              <w:jc w:val="center"/>
              <w:rPr>
                <w:rFonts w:eastAsia="Times New Roman"/>
                <w:b/>
                <w:bCs/>
                <w:i/>
                <w:iCs/>
                <w:sz w:val="19"/>
                <w:szCs w:val="19"/>
                <w:lang w:val="hu-HU"/>
              </w:rPr>
            </w:pPr>
            <w:r w:rsidRPr="00220A00">
              <w:rPr>
                <w:b/>
                <w:bCs/>
                <w:i/>
                <w:iCs/>
                <w:sz w:val="19"/>
                <w:szCs w:val="19"/>
                <w:lang w:val="hu-HU"/>
              </w:rPr>
              <w:t>NEWT</w:t>
            </w:r>
          </w:p>
        </w:tc>
        <w:tc>
          <w:tcPr>
            <w:tcW w:w="171" w:type="pct"/>
            <w:tcBorders>
              <w:top w:val="single" w:sz="8" w:space="0" w:color="000000"/>
              <w:left w:val="single" w:sz="8" w:space="0" w:color="000000"/>
              <w:bottom w:val="single" w:sz="8" w:space="0" w:color="000000"/>
              <w:right w:val="nil"/>
            </w:tcBorders>
            <w:shd w:val="clear" w:color="auto" w:fill="BFBFBF"/>
            <w:textDirection w:val="tbRl"/>
            <w:vAlign w:val="center"/>
            <w:hideMark/>
          </w:tcPr>
          <w:p w14:paraId="6E92D499" w14:textId="77777777" w:rsidR="00405CB2" w:rsidRPr="00220A00" w:rsidRDefault="00405CB2" w:rsidP="008446DF">
            <w:pPr>
              <w:spacing w:line="276" w:lineRule="auto"/>
              <w:ind w:left="113" w:right="113"/>
              <w:jc w:val="center"/>
              <w:rPr>
                <w:rFonts w:eastAsia="Times New Roman"/>
                <w:b/>
                <w:bCs/>
                <w:sz w:val="19"/>
                <w:szCs w:val="19"/>
                <w:lang w:val="hu-HU"/>
              </w:rPr>
            </w:pPr>
            <w:r w:rsidRPr="00220A00">
              <w:rPr>
                <w:b/>
                <w:bCs/>
                <w:color w:val="FF0000"/>
                <w:sz w:val="19"/>
                <w:szCs w:val="19"/>
                <w:lang w:val="hu-HU"/>
              </w:rPr>
              <w:t>VENTURE CAPITAL</w:t>
            </w:r>
          </w:p>
        </w:tc>
        <w:tc>
          <w:tcPr>
            <w:tcW w:w="171" w:type="pct"/>
            <w:tcBorders>
              <w:top w:val="single" w:sz="8" w:space="0" w:color="000000"/>
              <w:left w:val="nil"/>
              <w:bottom w:val="single" w:sz="8" w:space="0" w:color="000000"/>
              <w:right w:val="single" w:sz="8" w:space="0" w:color="000000"/>
            </w:tcBorders>
            <w:textDirection w:val="tbRl"/>
            <w:vAlign w:val="center"/>
            <w:hideMark/>
          </w:tcPr>
          <w:p w14:paraId="11F2D790" w14:textId="77777777" w:rsidR="00405CB2" w:rsidRPr="00220A00" w:rsidRDefault="00405CB2" w:rsidP="008446DF">
            <w:pPr>
              <w:spacing w:line="276" w:lineRule="auto"/>
              <w:ind w:left="113" w:right="113"/>
              <w:jc w:val="center"/>
              <w:rPr>
                <w:rFonts w:eastAsia="Times New Roman"/>
                <w:b/>
                <w:bCs/>
                <w:i/>
                <w:iCs/>
                <w:sz w:val="19"/>
                <w:szCs w:val="19"/>
                <w:lang w:val="hu-HU"/>
              </w:rPr>
            </w:pPr>
            <w:r w:rsidRPr="00220A00">
              <w:rPr>
                <w:b/>
                <w:bCs/>
                <w:i/>
                <w:iCs/>
                <w:sz w:val="19"/>
                <w:szCs w:val="19"/>
                <w:lang w:val="hu-HU"/>
              </w:rPr>
              <w:t>GAZELLE</w:t>
            </w:r>
          </w:p>
        </w:tc>
        <w:tc>
          <w:tcPr>
            <w:tcW w:w="171" w:type="pct"/>
            <w:tcBorders>
              <w:top w:val="single" w:sz="8" w:space="0" w:color="000000"/>
              <w:left w:val="single" w:sz="8" w:space="0" w:color="000000"/>
              <w:bottom w:val="single" w:sz="8" w:space="0" w:color="000000"/>
              <w:right w:val="nil"/>
            </w:tcBorders>
            <w:shd w:val="clear" w:color="auto" w:fill="BFBFBF"/>
            <w:textDirection w:val="tbRl"/>
            <w:vAlign w:val="center"/>
            <w:hideMark/>
          </w:tcPr>
          <w:p w14:paraId="2C446B08" w14:textId="77777777" w:rsidR="00405CB2" w:rsidRPr="00220A00" w:rsidRDefault="00405CB2" w:rsidP="008446DF">
            <w:pPr>
              <w:spacing w:line="276" w:lineRule="auto"/>
              <w:ind w:left="113" w:right="113"/>
              <w:jc w:val="center"/>
              <w:rPr>
                <w:rFonts w:eastAsia="Times New Roman"/>
                <w:b/>
                <w:bCs/>
                <w:sz w:val="19"/>
                <w:szCs w:val="19"/>
                <w:lang w:val="hu-HU"/>
              </w:rPr>
            </w:pPr>
            <w:r w:rsidRPr="00220A00">
              <w:rPr>
                <w:b/>
                <w:bCs/>
                <w:color w:val="FF0000"/>
                <w:sz w:val="19"/>
                <w:szCs w:val="19"/>
                <w:lang w:val="hu-HU"/>
              </w:rPr>
              <w:t>COMPLEXITY</w:t>
            </w:r>
          </w:p>
        </w:tc>
        <w:tc>
          <w:tcPr>
            <w:tcW w:w="171" w:type="pct"/>
            <w:tcBorders>
              <w:top w:val="single" w:sz="8" w:space="0" w:color="000000"/>
              <w:left w:val="nil"/>
              <w:bottom w:val="single" w:sz="8" w:space="0" w:color="000000"/>
              <w:right w:val="single" w:sz="8" w:space="0" w:color="000000"/>
            </w:tcBorders>
            <w:textDirection w:val="tbRl"/>
            <w:vAlign w:val="center"/>
            <w:hideMark/>
          </w:tcPr>
          <w:p w14:paraId="57CAE2D4" w14:textId="77777777" w:rsidR="00405CB2" w:rsidRPr="00220A00" w:rsidRDefault="00405CB2" w:rsidP="008446DF">
            <w:pPr>
              <w:spacing w:line="276" w:lineRule="auto"/>
              <w:ind w:left="113" w:right="113"/>
              <w:jc w:val="center"/>
              <w:rPr>
                <w:rFonts w:eastAsia="Times New Roman"/>
                <w:b/>
                <w:bCs/>
                <w:i/>
                <w:iCs/>
                <w:sz w:val="19"/>
                <w:szCs w:val="19"/>
                <w:lang w:val="hu-HU"/>
              </w:rPr>
            </w:pPr>
            <w:r w:rsidRPr="00220A00">
              <w:rPr>
                <w:b/>
                <w:bCs/>
                <w:i/>
                <w:iCs/>
                <w:sz w:val="19"/>
                <w:szCs w:val="19"/>
                <w:lang w:val="hu-HU"/>
              </w:rPr>
              <w:t>EXPORT</w:t>
            </w:r>
          </w:p>
        </w:tc>
        <w:tc>
          <w:tcPr>
            <w:tcW w:w="207" w:type="pct"/>
            <w:tcBorders>
              <w:top w:val="single" w:sz="8" w:space="0" w:color="000000"/>
              <w:left w:val="single" w:sz="8" w:space="0" w:color="000000"/>
              <w:bottom w:val="single" w:sz="8" w:space="0" w:color="000000"/>
              <w:right w:val="nil"/>
            </w:tcBorders>
            <w:shd w:val="clear" w:color="auto" w:fill="BFBFBF"/>
            <w:textDirection w:val="tbRl"/>
            <w:vAlign w:val="center"/>
            <w:hideMark/>
          </w:tcPr>
          <w:p w14:paraId="1D6CBF73" w14:textId="77777777" w:rsidR="00405CB2" w:rsidRPr="00220A00" w:rsidRDefault="00405CB2" w:rsidP="00220A00">
            <w:pPr>
              <w:spacing w:line="240" w:lineRule="auto"/>
              <w:ind w:left="113" w:right="113"/>
              <w:jc w:val="center"/>
              <w:rPr>
                <w:rFonts w:eastAsia="Times New Roman"/>
                <w:b/>
                <w:bCs/>
                <w:sz w:val="19"/>
                <w:szCs w:val="19"/>
                <w:lang w:val="hu-HU"/>
              </w:rPr>
            </w:pPr>
            <w:r w:rsidRPr="00220A00">
              <w:rPr>
                <w:b/>
                <w:bCs/>
                <w:sz w:val="19"/>
                <w:szCs w:val="19"/>
                <w:lang w:val="hu-HU"/>
              </w:rPr>
              <w:t>DEPTH OF CAPITAL MARKET</w:t>
            </w:r>
          </w:p>
        </w:tc>
        <w:tc>
          <w:tcPr>
            <w:tcW w:w="127" w:type="pct"/>
            <w:tcBorders>
              <w:top w:val="single" w:sz="8" w:space="0" w:color="000000"/>
              <w:left w:val="nil"/>
              <w:bottom w:val="single" w:sz="8" w:space="0" w:color="000000"/>
              <w:right w:val="single" w:sz="8" w:space="0" w:color="000000"/>
            </w:tcBorders>
            <w:textDirection w:val="tbRl"/>
            <w:vAlign w:val="center"/>
            <w:hideMark/>
          </w:tcPr>
          <w:p w14:paraId="6FF96FD9" w14:textId="77777777" w:rsidR="00405CB2" w:rsidRPr="00220A00" w:rsidRDefault="00405CB2" w:rsidP="008446DF">
            <w:pPr>
              <w:spacing w:line="276" w:lineRule="auto"/>
              <w:ind w:left="113" w:right="113"/>
              <w:jc w:val="center"/>
              <w:rPr>
                <w:rFonts w:eastAsia="Times New Roman"/>
                <w:b/>
                <w:bCs/>
                <w:i/>
                <w:iCs/>
                <w:sz w:val="19"/>
                <w:szCs w:val="19"/>
                <w:lang w:val="hu-HU"/>
              </w:rPr>
            </w:pPr>
            <w:r w:rsidRPr="00220A00">
              <w:rPr>
                <w:b/>
                <w:bCs/>
                <w:i/>
                <w:iCs/>
                <w:sz w:val="19"/>
                <w:szCs w:val="19"/>
                <w:lang w:val="hu-HU"/>
              </w:rPr>
              <w:t>INFINV</w:t>
            </w:r>
          </w:p>
        </w:tc>
      </w:tr>
    </w:tbl>
    <w:p w14:paraId="6BB9CE8B" w14:textId="77777777" w:rsidR="00784826" w:rsidRPr="00784826" w:rsidRDefault="00784826" w:rsidP="00784826">
      <w:pPr>
        <w:spacing w:line="276" w:lineRule="auto"/>
        <w:jc w:val="both"/>
        <w:rPr>
          <w:b/>
          <w:i/>
          <w:sz w:val="24"/>
          <w:szCs w:val="24"/>
        </w:rPr>
      </w:pPr>
      <w:r w:rsidRPr="00784826">
        <w:rPr>
          <w:b/>
          <w:i/>
          <w:sz w:val="24"/>
          <w:szCs w:val="24"/>
        </w:rPr>
        <w:t>Table 2:  The New GEDI Structure</w:t>
      </w:r>
    </w:p>
    <w:p w14:paraId="1C7481CC" w14:textId="77777777" w:rsidR="00405CB2" w:rsidRPr="00FE0414" w:rsidRDefault="00405CB2" w:rsidP="0060328A">
      <w:pPr>
        <w:spacing w:line="276" w:lineRule="auto"/>
        <w:jc w:val="both"/>
        <w:rPr>
          <w:rFonts w:eastAsia="Times New Roman"/>
          <w:i/>
          <w:color w:val="FF0000"/>
        </w:rPr>
      </w:pPr>
      <w:r w:rsidRPr="00FE0414">
        <w:rPr>
          <w:i/>
          <w:color w:val="FF0000"/>
        </w:rPr>
        <w:t>Changes with red letters</w:t>
      </w:r>
    </w:p>
    <w:p w14:paraId="3CA43ED5" w14:textId="333AC8AA" w:rsidR="00405CB2" w:rsidRPr="00CB49BD" w:rsidRDefault="0096798A" w:rsidP="00784826">
      <w:pPr>
        <w:spacing w:before="120" w:line="276" w:lineRule="auto"/>
        <w:jc w:val="both"/>
        <w:rPr>
          <w:sz w:val="24"/>
          <w:szCs w:val="24"/>
        </w:rPr>
      </w:pPr>
      <w:r w:rsidRPr="00CB49BD">
        <w:rPr>
          <w:sz w:val="24"/>
          <w:szCs w:val="24"/>
        </w:rPr>
        <w:t xml:space="preserve">Table 2 shows what the new GEI would look like and below we list the potential institutional variables that we would use. </w:t>
      </w:r>
      <w:r w:rsidR="00405CB2" w:rsidRPr="00CB49BD">
        <w:rPr>
          <w:sz w:val="24"/>
          <w:szCs w:val="24"/>
        </w:rPr>
        <w:t xml:space="preserve">The </w:t>
      </w:r>
      <w:r w:rsidR="00E2068D" w:rsidRPr="00CB49BD">
        <w:rPr>
          <w:sz w:val="24"/>
          <w:szCs w:val="24"/>
        </w:rPr>
        <w:t>description of the new potential institutional variables is</w:t>
      </w:r>
      <w:r w:rsidRPr="00CB49BD">
        <w:rPr>
          <w:sz w:val="24"/>
          <w:szCs w:val="24"/>
        </w:rPr>
        <w:t>:</w:t>
      </w:r>
    </w:p>
    <w:p w14:paraId="040B556A" w14:textId="0773D57B" w:rsidR="00405CB2" w:rsidRDefault="00405CB2" w:rsidP="0060328A">
      <w:pPr>
        <w:spacing w:line="276" w:lineRule="auto"/>
        <w:jc w:val="both"/>
        <w:rPr>
          <w:sz w:val="24"/>
          <w:szCs w:val="24"/>
        </w:rPr>
      </w:pPr>
      <w:r w:rsidRPr="00CB49BD">
        <w:rPr>
          <w:sz w:val="24"/>
          <w:szCs w:val="24"/>
        </w:rPr>
        <w:t>FREEDOM: removed from the OPPORTUNITY STARTUP pillar</w:t>
      </w:r>
      <w:r w:rsidR="0096798A" w:rsidRPr="00CB49BD">
        <w:rPr>
          <w:sz w:val="24"/>
          <w:szCs w:val="24"/>
        </w:rPr>
        <w:t xml:space="preserve"> and move to OPPORTUNITY PILLAR</w:t>
      </w:r>
    </w:p>
    <w:p w14:paraId="0D643425" w14:textId="77777777" w:rsidR="00784826" w:rsidRPr="00CB49BD" w:rsidRDefault="00784826" w:rsidP="0060328A">
      <w:pPr>
        <w:spacing w:line="276" w:lineRule="auto"/>
        <w:jc w:val="both"/>
        <w:rPr>
          <w:sz w:val="24"/>
          <w:szCs w:val="24"/>
        </w:rPr>
      </w:pPr>
    </w:p>
    <w:p w14:paraId="41D8636D" w14:textId="071D39D7" w:rsidR="00405CB2" w:rsidRPr="00CB49BD" w:rsidRDefault="00405CB2" w:rsidP="0060328A">
      <w:pPr>
        <w:spacing w:line="276" w:lineRule="auto"/>
        <w:jc w:val="both"/>
        <w:rPr>
          <w:sz w:val="24"/>
          <w:szCs w:val="24"/>
        </w:rPr>
      </w:pPr>
      <w:r w:rsidRPr="00CB49BD">
        <w:rPr>
          <w:sz w:val="24"/>
          <w:szCs w:val="24"/>
        </w:rPr>
        <w:t xml:space="preserve">EDUCATION QUALITY: besides the enrolment in </w:t>
      </w:r>
      <w:r w:rsidR="0096798A" w:rsidRPr="00CB49BD">
        <w:rPr>
          <w:sz w:val="24"/>
          <w:szCs w:val="24"/>
        </w:rPr>
        <w:t>post-secondary</w:t>
      </w:r>
      <w:r w:rsidRPr="00CB49BD">
        <w:rPr>
          <w:sz w:val="24"/>
          <w:szCs w:val="24"/>
        </w:rPr>
        <w:t xml:space="preserve"> education we could include a measure of the quality of management education.</w:t>
      </w:r>
    </w:p>
    <w:p w14:paraId="256B34FA" w14:textId="77777777" w:rsidR="00405CB2" w:rsidRPr="00CB49BD" w:rsidRDefault="00405CB2" w:rsidP="0060328A">
      <w:pPr>
        <w:pStyle w:val="ListParagraph"/>
        <w:numPr>
          <w:ilvl w:val="0"/>
          <w:numId w:val="24"/>
        </w:numPr>
        <w:spacing w:after="200" w:line="276" w:lineRule="auto"/>
        <w:jc w:val="both"/>
        <w:rPr>
          <w:sz w:val="24"/>
          <w:szCs w:val="24"/>
        </w:rPr>
      </w:pPr>
      <w:r w:rsidRPr="00CB49BD">
        <w:rPr>
          <w:sz w:val="24"/>
          <w:szCs w:val="24"/>
        </w:rPr>
        <w:t xml:space="preserve">potential variable:  Quality of the education system or the quality of management schools from World Economic Forum, or expenditure on education </w:t>
      </w:r>
    </w:p>
    <w:p w14:paraId="1CDC0F46" w14:textId="77777777" w:rsidR="00405CB2" w:rsidRPr="00CB49BD" w:rsidRDefault="00405CB2" w:rsidP="0060328A">
      <w:pPr>
        <w:pStyle w:val="ListParagraph"/>
        <w:numPr>
          <w:ilvl w:val="1"/>
          <w:numId w:val="24"/>
        </w:numPr>
        <w:spacing w:line="276" w:lineRule="auto"/>
        <w:ind w:left="1434" w:hanging="357"/>
        <w:jc w:val="both"/>
        <w:rPr>
          <w:sz w:val="24"/>
          <w:szCs w:val="24"/>
        </w:rPr>
      </w:pPr>
      <w:r w:rsidRPr="00CB49BD">
        <w:rPr>
          <w:sz w:val="24"/>
          <w:szCs w:val="24"/>
        </w:rPr>
        <w:t xml:space="preserve">Quality of the education system: In your country, how well does the education system meet the needs of a competitive economy? [1 = not well at all; 7 = extremely well] </w:t>
      </w:r>
    </w:p>
    <w:p w14:paraId="4142A99A" w14:textId="77777777" w:rsidR="00405CB2" w:rsidRPr="00CB49BD" w:rsidRDefault="00405CB2" w:rsidP="0060328A">
      <w:pPr>
        <w:pStyle w:val="ListParagraph"/>
        <w:numPr>
          <w:ilvl w:val="1"/>
          <w:numId w:val="24"/>
        </w:numPr>
        <w:spacing w:line="276" w:lineRule="auto"/>
        <w:ind w:left="1434" w:hanging="357"/>
        <w:jc w:val="both"/>
        <w:rPr>
          <w:sz w:val="24"/>
          <w:szCs w:val="24"/>
        </w:rPr>
      </w:pPr>
      <w:r w:rsidRPr="00CB49BD">
        <w:rPr>
          <w:sz w:val="24"/>
          <w:szCs w:val="24"/>
        </w:rPr>
        <w:t>Quality of management schools In your country, how do you assess the quality of business schools? [1 = extremely poor—among the worst in the world; 7 = excellent—among the best in the world]</w:t>
      </w:r>
    </w:p>
    <w:p w14:paraId="35714320" w14:textId="77777777" w:rsidR="00405CB2" w:rsidRPr="00CB49BD" w:rsidRDefault="00405CB2" w:rsidP="0060328A">
      <w:pPr>
        <w:pStyle w:val="ListParagraph"/>
        <w:numPr>
          <w:ilvl w:val="1"/>
          <w:numId w:val="24"/>
        </w:numPr>
        <w:spacing w:line="276" w:lineRule="auto"/>
        <w:ind w:left="1434" w:hanging="357"/>
        <w:jc w:val="both"/>
        <w:rPr>
          <w:sz w:val="24"/>
          <w:szCs w:val="24"/>
        </w:rPr>
      </w:pPr>
      <w:r w:rsidRPr="00CB49BD">
        <w:rPr>
          <w:sz w:val="24"/>
          <w:szCs w:val="24"/>
        </w:rPr>
        <w:t>Expenditure on education as % of total government expenditure – UN Statistics Data; data availability is relatively different among countries</w:t>
      </w:r>
    </w:p>
    <w:p w14:paraId="5528F5B8" w14:textId="77777777" w:rsidR="00405CB2" w:rsidRPr="00CB49BD" w:rsidRDefault="00405CB2" w:rsidP="0060328A">
      <w:pPr>
        <w:spacing w:line="276" w:lineRule="auto"/>
        <w:ind w:left="1080"/>
        <w:jc w:val="both"/>
        <w:rPr>
          <w:sz w:val="24"/>
          <w:szCs w:val="24"/>
        </w:rPr>
      </w:pPr>
    </w:p>
    <w:p w14:paraId="1F677E8B" w14:textId="77777777" w:rsidR="00405CB2" w:rsidRPr="00CB49BD" w:rsidRDefault="00405CB2" w:rsidP="0060328A">
      <w:pPr>
        <w:pStyle w:val="NoSpacing"/>
        <w:spacing w:line="276" w:lineRule="auto"/>
        <w:jc w:val="both"/>
        <w:rPr>
          <w:sz w:val="24"/>
          <w:szCs w:val="24"/>
          <w:lang w:val="en-GB"/>
        </w:rPr>
      </w:pPr>
      <w:r w:rsidRPr="00CB49BD">
        <w:rPr>
          <w:sz w:val="24"/>
          <w:szCs w:val="24"/>
          <w:lang w:val="en-GB"/>
        </w:rPr>
        <w:lastRenderedPageBreak/>
        <w:t>DIGITAL CONECTIVITY: instead of only the use of the internet we could use a more sophisticated variable from the ITU Database like the Percentage of the population covered by at least a 3G mobile network, or some social networking data</w:t>
      </w:r>
    </w:p>
    <w:p w14:paraId="606E6725" w14:textId="77777777" w:rsidR="00405CB2" w:rsidRPr="00CB49BD" w:rsidRDefault="00405CB2" w:rsidP="0060328A">
      <w:pPr>
        <w:pStyle w:val="NoSpacing"/>
        <w:spacing w:line="276" w:lineRule="auto"/>
        <w:jc w:val="both"/>
        <w:rPr>
          <w:sz w:val="24"/>
          <w:szCs w:val="24"/>
          <w:lang w:val="en-GB"/>
        </w:rPr>
      </w:pPr>
    </w:p>
    <w:p w14:paraId="0677EFAE" w14:textId="77777777" w:rsidR="00405CB2" w:rsidRPr="00CB49BD" w:rsidRDefault="00405CB2" w:rsidP="0060328A">
      <w:pPr>
        <w:pStyle w:val="NoSpacing"/>
        <w:spacing w:line="276" w:lineRule="auto"/>
        <w:jc w:val="both"/>
        <w:rPr>
          <w:sz w:val="24"/>
          <w:szCs w:val="24"/>
          <w:lang w:val="en-US"/>
        </w:rPr>
      </w:pPr>
      <w:r w:rsidRPr="00CB49BD">
        <w:rPr>
          <w:sz w:val="24"/>
          <w:szCs w:val="24"/>
          <w:lang w:val="en-US"/>
        </w:rPr>
        <w:t>TAXATION: We plan to combine two variables on that reflect to the cost of paying taxes and the other that reflect to the quality of government services</w:t>
      </w:r>
    </w:p>
    <w:p w14:paraId="423295A4" w14:textId="77777777" w:rsidR="00405CB2" w:rsidRPr="00CB49BD" w:rsidRDefault="00405CB2" w:rsidP="0060328A">
      <w:pPr>
        <w:pStyle w:val="NoSpacing"/>
        <w:numPr>
          <w:ilvl w:val="0"/>
          <w:numId w:val="24"/>
        </w:numPr>
        <w:spacing w:line="276" w:lineRule="auto"/>
        <w:jc w:val="both"/>
        <w:rPr>
          <w:sz w:val="24"/>
          <w:szCs w:val="24"/>
          <w:lang w:val="en-GB"/>
        </w:rPr>
      </w:pPr>
      <w:r w:rsidRPr="00CB49BD">
        <w:rPr>
          <w:sz w:val="24"/>
          <w:szCs w:val="24"/>
          <w:lang w:val="en-GB"/>
        </w:rPr>
        <w:t>Paying taxes distance to frontier – composite indicator about taxation provided by Doing Business project (Authors: World Bank Group and PWC); data are available from 2006 to 2016</w:t>
      </w:r>
    </w:p>
    <w:p w14:paraId="29A38D98" w14:textId="77777777" w:rsidR="00405CB2" w:rsidRPr="00CB49BD" w:rsidRDefault="00405CB2" w:rsidP="0060328A">
      <w:pPr>
        <w:pStyle w:val="NoSpacing"/>
        <w:numPr>
          <w:ilvl w:val="0"/>
          <w:numId w:val="24"/>
        </w:numPr>
        <w:spacing w:line="276" w:lineRule="auto"/>
        <w:jc w:val="both"/>
        <w:rPr>
          <w:sz w:val="24"/>
          <w:szCs w:val="24"/>
          <w:lang w:val="en-GB"/>
        </w:rPr>
      </w:pPr>
      <w:r w:rsidRPr="00CB49BD">
        <w:rPr>
          <w:sz w:val="24"/>
          <w:szCs w:val="24"/>
          <w:lang w:val="en-GB"/>
        </w:rPr>
        <w:t>ICRG Indicator for Quality of government – The mean value of the ICRG variables "Corruption", "Law and Order" and "Bureaucracy Quality", scaled 0-1. Higher values indicate higher quality of government; data are av. from 2000 to 2012</w:t>
      </w:r>
    </w:p>
    <w:p w14:paraId="027BD1F8" w14:textId="77777777" w:rsidR="00405CB2" w:rsidRPr="00CB49BD" w:rsidRDefault="00405CB2" w:rsidP="0060328A">
      <w:pPr>
        <w:pStyle w:val="NoSpacing"/>
        <w:spacing w:line="276" w:lineRule="auto"/>
        <w:ind w:left="720"/>
        <w:jc w:val="both"/>
        <w:rPr>
          <w:sz w:val="24"/>
          <w:szCs w:val="24"/>
          <w:lang w:val="en-GB"/>
        </w:rPr>
      </w:pPr>
    </w:p>
    <w:p w14:paraId="6332D116" w14:textId="77777777" w:rsidR="00405CB2" w:rsidRPr="00CB49BD" w:rsidRDefault="00405CB2" w:rsidP="0060328A">
      <w:pPr>
        <w:pStyle w:val="NoSpacing"/>
        <w:spacing w:line="276" w:lineRule="auto"/>
        <w:jc w:val="both"/>
        <w:rPr>
          <w:sz w:val="24"/>
          <w:szCs w:val="24"/>
          <w:lang w:val="en-US"/>
        </w:rPr>
      </w:pPr>
      <w:r w:rsidRPr="00CB49BD">
        <w:rPr>
          <w:sz w:val="24"/>
          <w:szCs w:val="24"/>
          <w:lang w:val="en-US"/>
        </w:rPr>
        <w:t>QUALITY OF SCIENTISTS: besides GERD we could introduce another variable that measures the quality of math and science education and/or the availability of scientists and engineers</w:t>
      </w:r>
    </w:p>
    <w:p w14:paraId="2F8C2977" w14:textId="54DBEB9F" w:rsidR="00405CB2" w:rsidRPr="00CB49BD" w:rsidRDefault="00405CB2" w:rsidP="0060328A">
      <w:pPr>
        <w:pStyle w:val="NoSpacing"/>
        <w:numPr>
          <w:ilvl w:val="0"/>
          <w:numId w:val="25"/>
        </w:numPr>
        <w:spacing w:line="276" w:lineRule="auto"/>
        <w:ind w:left="714" w:hanging="357"/>
        <w:jc w:val="both"/>
        <w:rPr>
          <w:sz w:val="24"/>
          <w:szCs w:val="24"/>
          <w:lang w:val="en-GB"/>
        </w:rPr>
      </w:pPr>
      <w:r w:rsidRPr="00CB49BD">
        <w:rPr>
          <w:sz w:val="24"/>
          <w:szCs w:val="24"/>
          <w:lang w:val="en-GB"/>
        </w:rPr>
        <w:t xml:space="preserve">Quality of math and science education </w:t>
      </w:r>
      <w:r w:rsidR="0096798A" w:rsidRPr="00CB49BD">
        <w:rPr>
          <w:sz w:val="24"/>
          <w:szCs w:val="24"/>
          <w:lang w:val="en-GB"/>
        </w:rPr>
        <w:t>in</w:t>
      </w:r>
      <w:r w:rsidRPr="00CB49BD">
        <w:rPr>
          <w:sz w:val="24"/>
          <w:szCs w:val="24"/>
          <w:lang w:val="en-GB"/>
        </w:rPr>
        <w:t xml:space="preserve"> your country, how do you assess the quality of math and science education? [1 = extremely poor—among the worst in the world; 7 = excellent—among the best in the world] |</w:t>
      </w:r>
    </w:p>
    <w:p w14:paraId="2F1F7700" w14:textId="77777777" w:rsidR="00405CB2" w:rsidRPr="00CB49BD" w:rsidRDefault="00405CB2" w:rsidP="0060328A">
      <w:pPr>
        <w:pStyle w:val="NoSpacing"/>
        <w:numPr>
          <w:ilvl w:val="0"/>
          <w:numId w:val="25"/>
        </w:numPr>
        <w:spacing w:line="276" w:lineRule="auto"/>
        <w:ind w:left="714" w:hanging="357"/>
        <w:jc w:val="both"/>
        <w:rPr>
          <w:sz w:val="24"/>
          <w:szCs w:val="24"/>
          <w:lang w:val="en-GB"/>
        </w:rPr>
      </w:pPr>
      <w:r w:rsidRPr="00CB49BD">
        <w:rPr>
          <w:sz w:val="24"/>
          <w:szCs w:val="24"/>
          <w:lang w:val="en-GB"/>
        </w:rPr>
        <w:t>Availability of scientists and engineers In your country, to what extent are scientists and engineers available? [1 = not at all; 7 = widely available] | 2014–15 weighted average</w:t>
      </w:r>
    </w:p>
    <w:p w14:paraId="3DEE9679" w14:textId="77777777" w:rsidR="00224340" w:rsidRDefault="00224340" w:rsidP="0060328A">
      <w:pPr>
        <w:pStyle w:val="NoSpacing"/>
        <w:spacing w:line="276" w:lineRule="auto"/>
        <w:jc w:val="both"/>
        <w:rPr>
          <w:sz w:val="24"/>
          <w:szCs w:val="24"/>
          <w:lang w:val="en-US"/>
        </w:rPr>
      </w:pPr>
    </w:p>
    <w:p w14:paraId="6524FA63" w14:textId="77777777" w:rsidR="00405CB2" w:rsidRPr="00CB49BD" w:rsidRDefault="00405CB2" w:rsidP="0060328A">
      <w:pPr>
        <w:pStyle w:val="NoSpacing"/>
        <w:spacing w:line="276" w:lineRule="auto"/>
        <w:jc w:val="both"/>
        <w:rPr>
          <w:sz w:val="24"/>
          <w:szCs w:val="24"/>
          <w:lang w:val="en-US"/>
        </w:rPr>
      </w:pPr>
      <w:r w:rsidRPr="00CB49BD">
        <w:rPr>
          <w:sz w:val="24"/>
          <w:szCs w:val="24"/>
          <w:lang w:val="en-US"/>
        </w:rPr>
        <w:t>LABOR MARKET: The staff training just only partially captures labor market characteristics, so we will to replace staff training with an institutional variable that measures labor market efficiency.</w:t>
      </w:r>
    </w:p>
    <w:p w14:paraId="050F8377" w14:textId="77777777" w:rsidR="00224340" w:rsidRDefault="00224340" w:rsidP="0060328A">
      <w:pPr>
        <w:pStyle w:val="NoSpacing"/>
        <w:spacing w:line="276" w:lineRule="auto"/>
        <w:jc w:val="both"/>
        <w:rPr>
          <w:sz w:val="24"/>
          <w:szCs w:val="24"/>
          <w:lang w:val="en-US"/>
        </w:rPr>
      </w:pPr>
    </w:p>
    <w:p w14:paraId="56A69B6E" w14:textId="77777777" w:rsidR="00405CB2" w:rsidRPr="00CB49BD" w:rsidRDefault="00405CB2" w:rsidP="0060328A">
      <w:pPr>
        <w:pStyle w:val="NoSpacing"/>
        <w:spacing w:line="276" w:lineRule="auto"/>
        <w:jc w:val="both"/>
        <w:rPr>
          <w:sz w:val="24"/>
          <w:szCs w:val="24"/>
          <w:lang w:val="en-US"/>
        </w:rPr>
      </w:pPr>
      <w:r w:rsidRPr="00CB49BD">
        <w:rPr>
          <w:sz w:val="24"/>
          <w:szCs w:val="24"/>
          <w:lang w:val="en-US"/>
        </w:rPr>
        <w:t xml:space="preserve">VENTURE CAPITAL: instead of business strategy variable we could use a measure of venture capital </w:t>
      </w:r>
      <w:proofErr w:type="spellStart"/>
      <w:r w:rsidRPr="00CB49BD">
        <w:rPr>
          <w:sz w:val="24"/>
          <w:szCs w:val="24"/>
        </w:rPr>
        <w:t>crowdfunding</w:t>
      </w:r>
      <w:proofErr w:type="spellEnd"/>
      <w:r w:rsidRPr="00CB49BD">
        <w:rPr>
          <w:sz w:val="24"/>
          <w:szCs w:val="24"/>
        </w:rPr>
        <w:t xml:space="preserve"> </w:t>
      </w:r>
      <w:proofErr w:type="spellStart"/>
      <w:r w:rsidRPr="00CB49BD">
        <w:rPr>
          <w:sz w:val="24"/>
          <w:szCs w:val="24"/>
        </w:rPr>
        <w:t>and</w:t>
      </w:r>
      <w:proofErr w:type="spellEnd"/>
      <w:r w:rsidRPr="00CB49BD">
        <w:rPr>
          <w:sz w:val="24"/>
          <w:szCs w:val="24"/>
        </w:rPr>
        <w:t xml:space="preserve"> angels.</w:t>
      </w:r>
    </w:p>
    <w:p w14:paraId="3F332819" w14:textId="77777777" w:rsidR="00224340" w:rsidRDefault="00224340" w:rsidP="0060328A">
      <w:pPr>
        <w:pStyle w:val="NoSpacing"/>
        <w:spacing w:line="276" w:lineRule="auto"/>
        <w:jc w:val="both"/>
        <w:rPr>
          <w:sz w:val="24"/>
          <w:szCs w:val="24"/>
          <w:lang w:val="en-US"/>
        </w:rPr>
      </w:pPr>
    </w:p>
    <w:p w14:paraId="50A5A147" w14:textId="77777777" w:rsidR="00405CB2" w:rsidRPr="00CB49BD" w:rsidRDefault="00405CB2" w:rsidP="0060328A">
      <w:pPr>
        <w:pStyle w:val="NoSpacing"/>
        <w:spacing w:line="276" w:lineRule="auto"/>
        <w:jc w:val="both"/>
        <w:rPr>
          <w:sz w:val="24"/>
          <w:szCs w:val="24"/>
          <w:lang w:val="en-US"/>
        </w:rPr>
      </w:pPr>
      <w:r w:rsidRPr="00CB49BD">
        <w:rPr>
          <w:sz w:val="24"/>
          <w:szCs w:val="24"/>
          <w:lang w:val="en-US"/>
        </w:rPr>
        <w:t>COMPLEXITY: instead of globalization we could use a more reliable data that is the economic complexity index.</w:t>
      </w:r>
    </w:p>
    <w:p w14:paraId="2993D9F9" w14:textId="6FB14238" w:rsidR="00224340" w:rsidRDefault="00405CB2" w:rsidP="0060328A">
      <w:pPr>
        <w:pStyle w:val="NoSpacing"/>
        <w:numPr>
          <w:ilvl w:val="0"/>
          <w:numId w:val="26"/>
        </w:numPr>
        <w:spacing w:line="276" w:lineRule="auto"/>
        <w:jc w:val="both"/>
        <w:rPr>
          <w:sz w:val="24"/>
          <w:szCs w:val="24"/>
          <w:lang w:val="en-GB"/>
        </w:rPr>
      </w:pPr>
      <w:r w:rsidRPr="00CB49BD">
        <w:rPr>
          <w:sz w:val="24"/>
          <w:szCs w:val="24"/>
          <w:lang w:val="en-GB"/>
        </w:rPr>
        <w:t xml:space="preserve">Economic Complexity Index – indicator introduced by Hidalgo and </w:t>
      </w:r>
      <w:proofErr w:type="spellStart"/>
      <w:r w:rsidRPr="00CB49BD">
        <w:rPr>
          <w:sz w:val="24"/>
          <w:szCs w:val="24"/>
          <w:lang w:val="en-GB"/>
        </w:rPr>
        <w:t>Hausmann</w:t>
      </w:r>
      <w:proofErr w:type="spellEnd"/>
      <w:r w:rsidRPr="00CB49BD">
        <w:rPr>
          <w:sz w:val="24"/>
          <w:szCs w:val="24"/>
          <w:lang w:val="en-GB"/>
        </w:rPr>
        <w:t xml:space="preserve"> (2009), indicates the interactions and network of a country’s economy (Author: MIT Media Lab Macro Connections group); data are av. from 1964 to 2013</w:t>
      </w:r>
    </w:p>
    <w:p w14:paraId="7E4649A3" w14:textId="77777777" w:rsidR="00224340" w:rsidRDefault="00224340">
      <w:pPr>
        <w:spacing w:line="240" w:lineRule="auto"/>
        <w:rPr>
          <w:sz w:val="24"/>
          <w:szCs w:val="24"/>
        </w:rPr>
      </w:pPr>
      <w:r>
        <w:rPr>
          <w:sz w:val="24"/>
          <w:szCs w:val="24"/>
        </w:rPr>
        <w:br w:type="page"/>
      </w:r>
    </w:p>
    <w:p w14:paraId="79F9F9E3" w14:textId="77777777" w:rsidR="00A11879" w:rsidRDefault="00A11879" w:rsidP="0060328A">
      <w:pPr>
        <w:pStyle w:val="Heading1"/>
        <w:spacing w:line="276" w:lineRule="auto"/>
        <w:jc w:val="both"/>
      </w:pPr>
      <w:bookmarkStart w:id="33" w:name="_Toc447096856"/>
      <w:r>
        <w:lastRenderedPageBreak/>
        <w:t>6. Conclusions</w:t>
      </w:r>
      <w:bookmarkEnd w:id="33"/>
    </w:p>
    <w:p w14:paraId="2895255A" w14:textId="7DB982C5" w:rsidR="00BF3B75" w:rsidRDefault="00BF3B75" w:rsidP="0060328A">
      <w:pPr>
        <w:spacing w:line="276" w:lineRule="auto"/>
        <w:jc w:val="both"/>
        <w:rPr>
          <w:rFonts w:cstheme="minorHAnsi"/>
          <w:sz w:val="24"/>
          <w:szCs w:val="24"/>
        </w:rPr>
      </w:pPr>
      <w:r w:rsidRPr="00CB49BD">
        <w:rPr>
          <w:rFonts w:cstheme="minorHAnsi"/>
          <w:sz w:val="24"/>
          <w:szCs w:val="24"/>
        </w:rPr>
        <w:t>R</w:t>
      </w:r>
      <w:r>
        <w:rPr>
          <w:rFonts w:cstheme="minorHAnsi"/>
          <w:sz w:val="24"/>
          <w:szCs w:val="24"/>
        </w:rPr>
        <w:t xml:space="preserve">esearch on entrepreneurship is mainly focused on the individual and research on innovation has been mainly focused on institutions even though we know that both agency and context matter. National Systems of Entrepreneurship (NSE) is a framework for resource allocation driven by individual-level opportunity pursuit through the creation of new ventures and its outcomes regulated by country-specific institutional characteristics. </w:t>
      </w:r>
    </w:p>
    <w:p w14:paraId="7074695A" w14:textId="7CE1B8AB" w:rsidR="00BF3B75" w:rsidRDefault="00BF3B75" w:rsidP="0060328A">
      <w:pPr>
        <w:spacing w:line="276" w:lineRule="auto"/>
        <w:ind w:firstLine="708"/>
        <w:jc w:val="both"/>
        <w:rPr>
          <w:rFonts w:cstheme="minorHAnsi"/>
          <w:sz w:val="24"/>
          <w:szCs w:val="24"/>
        </w:rPr>
      </w:pPr>
      <w:r>
        <w:rPr>
          <w:rFonts w:cstheme="minorHAnsi"/>
          <w:sz w:val="24"/>
          <w:szCs w:val="24"/>
        </w:rPr>
        <w:t>This paper has further explored Finance, Taxes, Labour Markets and Knowledge Institutions as pillars that might impact entrepreneurship that have not been included in the GEI approach up until now. We will further explore the role of the digital economy as it pertains to digital skills. Since we are only looking at EU countries a richer set of data exists to explore these avenues in the ecosystem.</w:t>
      </w:r>
      <w:r w:rsidRPr="00DC466D">
        <w:rPr>
          <w:rFonts w:cstheme="minorHAnsi"/>
          <w:sz w:val="24"/>
          <w:szCs w:val="24"/>
        </w:rPr>
        <w:t xml:space="preserve"> </w:t>
      </w:r>
      <w:r>
        <w:rPr>
          <w:rFonts w:cstheme="minorHAnsi"/>
          <w:sz w:val="24"/>
          <w:szCs w:val="24"/>
        </w:rPr>
        <w:t>This paper draws on the NSE framework, set it in a larger context, examines the logic of the approach and discussed how the approach can be improved. However, building these institutional variables into the Global Entrepreneurship Index (GEI) are limited by data availability and the fit of the new potential variables to existing ones.</w:t>
      </w:r>
    </w:p>
    <w:p w14:paraId="2D902B6C" w14:textId="284191F9" w:rsidR="00A87255" w:rsidRDefault="00A87255" w:rsidP="0060328A">
      <w:pPr>
        <w:spacing w:line="276" w:lineRule="auto"/>
        <w:ind w:firstLine="708"/>
        <w:jc w:val="both"/>
        <w:rPr>
          <w:rFonts w:cstheme="minorHAnsi"/>
          <w:sz w:val="24"/>
          <w:szCs w:val="24"/>
        </w:rPr>
      </w:pPr>
      <w:r>
        <w:rPr>
          <w:rFonts w:cstheme="minorHAnsi"/>
          <w:sz w:val="24"/>
          <w:szCs w:val="24"/>
        </w:rPr>
        <w:t xml:space="preserve">What we have here is some ideas on how to proceed with expanding the NSE ecosystem to include what seems obviously important to start ups: finance, taxes, </w:t>
      </w:r>
      <w:proofErr w:type="spellStart"/>
      <w:r>
        <w:rPr>
          <w:rFonts w:cstheme="minorHAnsi"/>
          <w:sz w:val="24"/>
          <w:szCs w:val="24"/>
        </w:rPr>
        <w:t>labor</w:t>
      </w:r>
      <w:proofErr w:type="spellEnd"/>
      <w:r>
        <w:rPr>
          <w:rFonts w:cstheme="minorHAnsi"/>
          <w:sz w:val="24"/>
          <w:szCs w:val="24"/>
        </w:rPr>
        <w:t xml:space="preserve"> market regulation, knowledge institutions and digital skills. Which variables to pick and if they actually work is part </w:t>
      </w:r>
      <w:proofErr w:type="spellStart"/>
      <w:r>
        <w:rPr>
          <w:rFonts w:cstheme="minorHAnsi"/>
          <w:sz w:val="24"/>
          <w:szCs w:val="24"/>
        </w:rPr>
        <w:t>f</w:t>
      </w:r>
      <w:proofErr w:type="spellEnd"/>
      <w:r>
        <w:rPr>
          <w:rFonts w:cstheme="minorHAnsi"/>
          <w:sz w:val="24"/>
          <w:szCs w:val="24"/>
        </w:rPr>
        <w:t xml:space="preserve"> the next phase of the project. </w:t>
      </w:r>
    </w:p>
    <w:p w14:paraId="73E45935" w14:textId="2201791E" w:rsidR="0080741C" w:rsidRDefault="00A87255" w:rsidP="0060328A">
      <w:pPr>
        <w:spacing w:line="276" w:lineRule="auto"/>
        <w:jc w:val="both"/>
        <w:rPr>
          <w:lang w:val="en-US"/>
        </w:rPr>
      </w:pPr>
      <w:r>
        <w:rPr>
          <w:lang w:val="en-US"/>
        </w:rPr>
        <w:tab/>
      </w:r>
    </w:p>
    <w:p w14:paraId="21833375" w14:textId="77777777" w:rsidR="0080741C" w:rsidRDefault="0080741C" w:rsidP="0060328A">
      <w:pPr>
        <w:spacing w:line="276" w:lineRule="auto"/>
        <w:jc w:val="both"/>
        <w:rPr>
          <w:lang w:val="en-US"/>
        </w:rPr>
      </w:pPr>
    </w:p>
    <w:p w14:paraId="010776EB" w14:textId="77777777" w:rsidR="0080741C" w:rsidRDefault="0080741C" w:rsidP="0060328A">
      <w:pPr>
        <w:spacing w:line="276" w:lineRule="auto"/>
        <w:jc w:val="both"/>
        <w:rPr>
          <w:lang w:val="en-US"/>
        </w:rPr>
      </w:pPr>
    </w:p>
    <w:p w14:paraId="6CF65CE4" w14:textId="7689C8FB" w:rsidR="00A87255" w:rsidRDefault="00A87255" w:rsidP="0060328A">
      <w:pPr>
        <w:spacing w:line="276"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br w:type="page"/>
      </w:r>
    </w:p>
    <w:p w14:paraId="3E628917" w14:textId="65B8DB5D" w:rsidR="003C7978" w:rsidRDefault="00A11879" w:rsidP="0060328A">
      <w:pPr>
        <w:pStyle w:val="Heading1"/>
        <w:spacing w:line="276" w:lineRule="auto"/>
        <w:jc w:val="both"/>
      </w:pPr>
      <w:bookmarkStart w:id="34" w:name="_Toc447096857"/>
      <w:r>
        <w:lastRenderedPageBreak/>
        <w:t>7.  References</w:t>
      </w:r>
      <w:bookmarkEnd w:id="34"/>
      <w:r w:rsidR="003C7978">
        <w:t xml:space="preserve"> </w:t>
      </w:r>
    </w:p>
    <w:p w14:paraId="2CBD3668" w14:textId="61632688" w:rsidR="00463D9A" w:rsidRPr="005E477E" w:rsidRDefault="00463D9A" w:rsidP="005E477E">
      <w:pPr>
        <w:pStyle w:val="GEDIbooktablefigure"/>
        <w:spacing w:after="60" w:line="276" w:lineRule="auto"/>
        <w:jc w:val="both"/>
        <w:rPr>
          <w:rFonts w:ascii="Calibri" w:hAnsi="Calibri"/>
          <w:b w:val="0"/>
          <w:i/>
        </w:rPr>
      </w:pPr>
      <w:proofErr w:type="spellStart"/>
      <w:r w:rsidRPr="005E477E">
        <w:rPr>
          <w:rFonts w:ascii="Calibri" w:hAnsi="Calibri"/>
          <w:b w:val="0"/>
        </w:rPr>
        <w:t>Acemoglu</w:t>
      </w:r>
      <w:proofErr w:type="spellEnd"/>
      <w:r w:rsidRPr="005E477E">
        <w:rPr>
          <w:rFonts w:ascii="Calibri" w:hAnsi="Calibri"/>
          <w:b w:val="0"/>
        </w:rPr>
        <w:t>, D., Johnson, S., and Robinson, J. A. (2005</w:t>
      </w:r>
      <w:r w:rsidRPr="005E477E">
        <w:rPr>
          <w:rFonts w:ascii="Calibri" w:hAnsi="Calibri"/>
          <w:b w:val="0"/>
          <w:i/>
        </w:rPr>
        <w:t xml:space="preserve">). Institutions as a fundamental cause of </w:t>
      </w:r>
      <w:r w:rsidR="0080741C" w:rsidRPr="005E477E">
        <w:rPr>
          <w:rFonts w:ascii="Calibri" w:hAnsi="Calibri"/>
          <w:b w:val="0"/>
          <w:i/>
        </w:rPr>
        <w:tab/>
      </w:r>
      <w:r w:rsidRPr="005E477E">
        <w:rPr>
          <w:rFonts w:ascii="Calibri" w:hAnsi="Calibri"/>
          <w:b w:val="0"/>
          <w:i/>
        </w:rPr>
        <w:t>long-run growth</w:t>
      </w:r>
      <w:r w:rsidRPr="005E477E">
        <w:rPr>
          <w:rFonts w:ascii="Calibri" w:hAnsi="Calibri"/>
          <w:b w:val="0"/>
        </w:rPr>
        <w:t xml:space="preserve">. In </w:t>
      </w:r>
      <w:proofErr w:type="spellStart"/>
      <w:r w:rsidRPr="005E477E">
        <w:rPr>
          <w:rFonts w:ascii="Calibri" w:hAnsi="Calibri"/>
          <w:b w:val="0"/>
        </w:rPr>
        <w:t>Aghion</w:t>
      </w:r>
      <w:proofErr w:type="spellEnd"/>
      <w:r w:rsidRPr="005E477E">
        <w:rPr>
          <w:rFonts w:ascii="Calibri" w:hAnsi="Calibri"/>
          <w:b w:val="0"/>
        </w:rPr>
        <w:t xml:space="preserve">, P., and </w:t>
      </w:r>
      <w:proofErr w:type="spellStart"/>
      <w:r w:rsidRPr="005E477E">
        <w:rPr>
          <w:rFonts w:ascii="Calibri" w:hAnsi="Calibri"/>
          <w:b w:val="0"/>
        </w:rPr>
        <w:t>Durlauf</w:t>
      </w:r>
      <w:proofErr w:type="spellEnd"/>
      <w:r w:rsidRPr="005E477E">
        <w:rPr>
          <w:rFonts w:ascii="Calibri" w:hAnsi="Calibri"/>
          <w:b w:val="0"/>
        </w:rPr>
        <w:t xml:space="preserve">, S. N. (Eds.). (2005). </w:t>
      </w:r>
      <w:r w:rsidRPr="005E477E">
        <w:rPr>
          <w:rFonts w:ascii="Calibri" w:hAnsi="Calibri"/>
          <w:b w:val="0"/>
          <w:i/>
        </w:rPr>
        <w:t xml:space="preserve">Handbook of </w:t>
      </w:r>
    </w:p>
    <w:p w14:paraId="71DD0CCC" w14:textId="33CA2558" w:rsidR="00463D9A" w:rsidRPr="005E477E" w:rsidRDefault="0080741C" w:rsidP="005E477E">
      <w:pPr>
        <w:pStyle w:val="GEDIbooktablefigure"/>
        <w:spacing w:after="60" w:line="276" w:lineRule="auto"/>
        <w:jc w:val="both"/>
        <w:rPr>
          <w:rFonts w:ascii="Calibri" w:hAnsi="Calibri"/>
          <w:b w:val="0"/>
        </w:rPr>
      </w:pPr>
      <w:r w:rsidRPr="005E477E">
        <w:rPr>
          <w:rFonts w:ascii="Calibri" w:hAnsi="Calibri"/>
          <w:b w:val="0"/>
          <w:i/>
        </w:rPr>
        <w:tab/>
      </w:r>
      <w:r w:rsidR="00463D9A" w:rsidRPr="005E477E">
        <w:rPr>
          <w:rFonts w:ascii="Calibri" w:hAnsi="Calibri"/>
          <w:b w:val="0"/>
          <w:i/>
        </w:rPr>
        <w:t>economic growth</w:t>
      </w:r>
      <w:r w:rsidR="00463D9A" w:rsidRPr="005E477E">
        <w:rPr>
          <w:rFonts w:ascii="Calibri" w:hAnsi="Calibri"/>
          <w:b w:val="0"/>
        </w:rPr>
        <w:t>, Amsterdam: Elsevier, 1, 385-472.</w:t>
      </w:r>
    </w:p>
    <w:p w14:paraId="3E528E6E" w14:textId="77777777" w:rsidR="00A11879" w:rsidRPr="005E477E" w:rsidRDefault="00A11879" w:rsidP="005E477E">
      <w:pPr>
        <w:spacing w:after="60" w:line="276" w:lineRule="auto"/>
        <w:ind w:left="720" w:hanging="720"/>
        <w:jc w:val="both"/>
        <w:rPr>
          <w:rFonts w:cstheme="minorHAnsi"/>
          <w:sz w:val="24"/>
          <w:szCs w:val="24"/>
        </w:rPr>
      </w:pPr>
      <w:r w:rsidRPr="005E477E">
        <w:rPr>
          <w:rFonts w:cstheme="minorHAnsi"/>
          <w:sz w:val="24"/>
          <w:szCs w:val="24"/>
        </w:rPr>
        <w:t xml:space="preserve">Acs, Z. J., P. </w:t>
      </w:r>
      <w:proofErr w:type="spellStart"/>
      <w:r w:rsidRPr="005E477E">
        <w:rPr>
          <w:rFonts w:cstheme="minorHAnsi"/>
          <w:sz w:val="24"/>
          <w:szCs w:val="24"/>
        </w:rPr>
        <w:t>Braunerhjelm</w:t>
      </w:r>
      <w:proofErr w:type="spellEnd"/>
      <w:r w:rsidRPr="005E477E">
        <w:rPr>
          <w:rFonts w:cstheme="minorHAnsi"/>
          <w:sz w:val="24"/>
          <w:szCs w:val="24"/>
        </w:rPr>
        <w:t xml:space="preserve"> ., </w:t>
      </w:r>
      <w:proofErr w:type="spellStart"/>
      <w:r w:rsidRPr="005E477E">
        <w:rPr>
          <w:rFonts w:cstheme="minorHAnsi"/>
          <w:sz w:val="24"/>
          <w:szCs w:val="24"/>
        </w:rPr>
        <w:t>Audretsch</w:t>
      </w:r>
      <w:proofErr w:type="spellEnd"/>
      <w:r w:rsidRPr="005E477E">
        <w:rPr>
          <w:rFonts w:cstheme="minorHAnsi"/>
          <w:sz w:val="24"/>
          <w:szCs w:val="24"/>
        </w:rPr>
        <w:t xml:space="preserve"> D. B., &amp; </w:t>
      </w:r>
      <w:proofErr w:type="spellStart"/>
      <w:r w:rsidRPr="005E477E">
        <w:rPr>
          <w:rFonts w:cstheme="minorHAnsi"/>
          <w:sz w:val="24"/>
          <w:szCs w:val="24"/>
        </w:rPr>
        <w:t>Carlsson</w:t>
      </w:r>
      <w:proofErr w:type="spellEnd"/>
      <w:r w:rsidRPr="005E477E">
        <w:rPr>
          <w:rFonts w:cstheme="minorHAnsi"/>
          <w:sz w:val="24"/>
          <w:szCs w:val="24"/>
        </w:rPr>
        <w:t xml:space="preserve"> B. (2009). The Knowledge </w:t>
      </w:r>
      <w:proofErr w:type="spellStart"/>
      <w:r w:rsidRPr="005E477E">
        <w:rPr>
          <w:rFonts w:cstheme="minorHAnsi"/>
          <w:sz w:val="24"/>
          <w:szCs w:val="24"/>
        </w:rPr>
        <w:t>Spillover</w:t>
      </w:r>
      <w:proofErr w:type="spellEnd"/>
      <w:r w:rsidRPr="005E477E">
        <w:rPr>
          <w:rFonts w:cstheme="minorHAnsi"/>
          <w:sz w:val="24"/>
          <w:szCs w:val="24"/>
        </w:rPr>
        <w:t xml:space="preserve"> Theory of Entrepreneurship. </w:t>
      </w:r>
      <w:r w:rsidRPr="005E477E">
        <w:rPr>
          <w:rFonts w:cstheme="minorHAnsi"/>
          <w:i/>
          <w:iCs/>
          <w:sz w:val="24"/>
          <w:szCs w:val="24"/>
        </w:rPr>
        <w:t>Small Business Economics</w:t>
      </w:r>
      <w:r w:rsidRPr="005E477E">
        <w:rPr>
          <w:rFonts w:cstheme="minorHAnsi"/>
          <w:sz w:val="24"/>
          <w:szCs w:val="24"/>
        </w:rPr>
        <w:t>, 32(1), 15-30.</w:t>
      </w:r>
      <w:r w:rsidRPr="005E477E">
        <w:rPr>
          <w:sz w:val="24"/>
          <w:szCs w:val="24"/>
        </w:rPr>
        <w:t xml:space="preserve"> DOI: </w:t>
      </w:r>
      <w:r w:rsidRPr="005E477E">
        <w:rPr>
          <w:rFonts w:cstheme="minorHAnsi"/>
          <w:sz w:val="24"/>
          <w:szCs w:val="24"/>
        </w:rPr>
        <w:t>10.1007/s11187-008-9157-3</w:t>
      </w:r>
    </w:p>
    <w:p w14:paraId="002EF0F9" w14:textId="77777777" w:rsidR="00A11879" w:rsidRPr="005E477E" w:rsidRDefault="00A11879" w:rsidP="005E477E">
      <w:pPr>
        <w:spacing w:after="60" w:line="276" w:lineRule="auto"/>
        <w:ind w:left="720" w:hanging="720"/>
        <w:jc w:val="both"/>
        <w:rPr>
          <w:rFonts w:cstheme="minorHAnsi"/>
          <w:bCs/>
          <w:sz w:val="24"/>
          <w:szCs w:val="24"/>
        </w:rPr>
      </w:pPr>
      <w:r w:rsidRPr="005E477E">
        <w:rPr>
          <w:rFonts w:cstheme="minorHAnsi"/>
          <w:bCs/>
          <w:sz w:val="24"/>
          <w:szCs w:val="24"/>
        </w:rPr>
        <w:t xml:space="preserve">Acs, Z. J., </w:t>
      </w:r>
      <w:proofErr w:type="spellStart"/>
      <w:r w:rsidRPr="005E477E">
        <w:rPr>
          <w:rFonts w:cstheme="minorHAnsi"/>
          <w:bCs/>
          <w:sz w:val="24"/>
          <w:szCs w:val="24"/>
        </w:rPr>
        <w:t>Audretsch</w:t>
      </w:r>
      <w:proofErr w:type="spellEnd"/>
      <w:r w:rsidRPr="005E477E">
        <w:rPr>
          <w:rFonts w:cstheme="minorHAnsi"/>
          <w:bCs/>
          <w:sz w:val="24"/>
          <w:szCs w:val="24"/>
        </w:rPr>
        <w:t xml:space="preserve">, D. B., </w:t>
      </w:r>
      <w:proofErr w:type="spellStart"/>
      <w:r w:rsidRPr="005E477E">
        <w:rPr>
          <w:rFonts w:cstheme="minorHAnsi"/>
          <w:bCs/>
          <w:sz w:val="24"/>
          <w:szCs w:val="24"/>
        </w:rPr>
        <w:t>Braunerhjelm</w:t>
      </w:r>
      <w:proofErr w:type="spellEnd"/>
      <w:r w:rsidRPr="005E477E">
        <w:rPr>
          <w:rFonts w:cstheme="minorHAnsi"/>
          <w:bCs/>
          <w:sz w:val="24"/>
          <w:szCs w:val="24"/>
        </w:rPr>
        <w:t xml:space="preserve">, P., &amp; </w:t>
      </w:r>
      <w:proofErr w:type="spellStart"/>
      <w:r w:rsidRPr="005E477E">
        <w:rPr>
          <w:rFonts w:cstheme="minorHAnsi"/>
          <w:bCs/>
          <w:sz w:val="24"/>
          <w:szCs w:val="24"/>
        </w:rPr>
        <w:t>Carlsson</w:t>
      </w:r>
      <w:proofErr w:type="spellEnd"/>
      <w:r w:rsidRPr="005E477E">
        <w:rPr>
          <w:rFonts w:cstheme="minorHAnsi"/>
          <w:bCs/>
          <w:sz w:val="24"/>
          <w:szCs w:val="24"/>
        </w:rPr>
        <w:t xml:space="preserve">, B. (2012). Growth and Entrepreneurship, </w:t>
      </w:r>
      <w:r w:rsidRPr="005E477E">
        <w:rPr>
          <w:rFonts w:cstheme="minorHAnsi"/>
          <w:bCs/>
          <w:i/>
          <w:sz w:val="24"/>
          <w:szCs w:val="24"/>
        </w:rPr>
        <w:t>Small Business Economics</w:t>
      </w:r>
      <w:r w:rsidRPr="005E477E">
        <w:rPr>
          <w:rFonts w:cstheme="minorHAnsi"/>
          <w:bCs/>
          <w:sz w:val="24"/>
          <w:szCs w:val="24"/>
        </w:rPr>
        <w:t>, 39(2), 213-245.</w:t>
      </w:r>
      <w:r w:rsidRPr="005E477E">
        <w:rPr>
          <w:sz w:val="24"/>
          <w:szCs w:val="24"/>
        </w:rPr>
        <w:t xml:space="preserve"> </w:t>
      </w:r>
      <w:proofErr w:type="spellStart"/>
      <w:r w:rsidRPr="005E477E">
        <w:rPr>
          <w:sz w:val="24"/>
          <w:szCs w:val="24"/>
        </w:rPr>
        <w:t>doi</w:t>
      </w:r>
      <w:proofErr w:type="spellEnd"/>
      <w:r w:rsidRPr="005E477E">
        <w:rPr>
          <w:sz w:val="24"/>
          <w:szCs w:val="24"/>
        </w:rPr>
        <w:t xml:space="preserve">: </w:t>
      </w:r>
      <w:r w:rsidRPr="005E477E">
        <w:rPr>
          <w:rFonts w:cstheme="minorHAnsi"/>
          <w:bCs/>
          <w:sz w:val="24"/>
          <w:szCs w:val="24"/>
        </w:rPr>
        <w:t>10.1007/s11187-010-9307-2</w:t>
      </w:r>
    </w:p>
    <w:p w14:paraId="23DF4039" w14:textId="77777777" w:rsidR="00A11879" w:rsidRPr="005E477E" w:rsidRDefault="00A11879" w:rsidP="005E477E">
      <w:pPr>
        <w:spacing w:after="60" w:line="276" w:lineRule="auto"/>
        <w:ind w:left="720" w:hanging="720"/>
        <w:jc w:val="both"/>
        <w:rPr>
          <w:rFonts w:cstheme="minorHAnsi"/>
          <w:bCs/>
          <w:sz w:val="24"/>
          <w:szCs w:val="24"/>
        </w:rPr>
      </w:pPr>
      <w:r w:rsidRPr="005E477E">
        <w:rPr>
          <w:rFonts w:cstheme="minorHAnsi"/>
          <w:bCs/>
          <w:sz w:val="24"/>
          <w:szCs w:val="24"/>
          <w:lang w:val="de-DE"/>
        </w:rPr>
        <w:t xml:space="preserve">Acs, Z. J., </w:t>
      </w:r>
      <w:proofErr w:type="spellStart"/>
      <w:r w:rsidRPr="005E477E">
        <w:rPr>
          <w:rFonts w:cstheme="minorHAnsi"/>
          <w:bCs/>
          <w:sz w:val="24"/>
          <w:szCs w:val="24"/>
          <w:lang w:val="de-DE"/>
        </w:rPr>
        <w:t>Audretsch</w:t>
      </w:r>
      <w:proofErr w:type="spellEnd"/>
      <w:r w:rsidRPr="005E477E">
        <w:rPr>
          <w:rFonts w:cstheme="minorHAnsi"/>
          <w:bCs/>
          <w:sz w:val="24"/>
          <w:szCs w:val="24"/>
          <w:lang w:val="de-DE"/>
        </w:rPr>
        <w:t xml:space="preserve">, D. B. &amp; Lehmann, E. E. (2013). </w:t>
      </w:r>
      <w:r w:rsidRPr="005E477E">
        <w:rPr>
          <w:rFonts w:cstheme="minorHAnsi"/>
          <w:bCs/>
          <w:sz w:val="24"/>
          <w:szCs w:val="24"/>
        </w:rPr>
        <w:t xml:space="preserve">The Knowledge </w:t>
      </w:r>
      <w:proofErr w:type="spellStart"/>
      <w:r w:rsidRPr="005E477E">
        <w:rPr>
          <w:rFonts w:cstheme="minorHAnsi"/>
          <w:bCs/>
          <w:sz w:val="24"/>
          <w:szCs w:val="24"/>
        </w:rPr>
        <w:t>Spillover</w:t>
      </w:r>
      <w:proofErr w:type="spellEnd"/>
      <w:r w:rsidRPr="005E477E">
        <w:rPr>
          <w:rFonts w:cstheme="minorHAnsi"/>
          <w:bCs/>
          <w:sz w:val="24"/>
          <w:szCs w:val="24"/>
        </w:rPr>
        <w:t xml:space="preserve"> Theory of Entrepreneurship, </w:t>
      </w:r>
      <w:r w:rsidRPr="005E477E">
        <w:rPr>
          <w:rFonts w:cstheme="minorHAnsi"/>
          <w:bCs/>
          <w:i/>
          <w:sz w:val="24"/>
          <w:szCs w:val="24"/>
        </w:rPr>
        <w:t>Small Business Economics</w:t>
      </w:r>
      <w:r w:rsidRPr="005E477E">
        <w:rPr>
          <w:rFonts w:cstheme="minorHAnsi"/>
          <w:bCs/>
          <w:sz w:val="24"/>
          <w:szCs w:val="24"/>
        </w:rPr>
        <w:t>, 41, 757-774.</w:t>
      </w:r>
      <w:r w:rsidRPr="005E477E">
        <w:rPr>
          <w:sz w:val="24"/>
          <w:szCs w:val="24"/>
        </w:rPr>
        <w:t xml:space="preserve"> </w:t>
      </w:r>
      <w:proofErr w:type="spellStart"/>
      <w:r w:rsidRPr="005E477E">
        <w:rPr>
          <w:sz w:val="24"/>
          <w:szCs w:val="24"/>
        </w:rPr>
        <w:t>doi</w:t>
      </w:r>
      <w:proofErr w:type="spellEnd"/>
      <w:r w:rsidRPr="005E477E">
        <w:rPr>
          <w:sz w:val="24"/>
          <w:szCs w:val="24"/>
        </w:rPr>
        <w:t xml:space="preserve">: </w:t>
      </w:r>
      <w:r w:rsidRPr="005E477E">
        <w:rPr>
          <w:rFonts w:cstheme="minorHAnsi"/>
          <w:bCs/>
          <w:sz w:val="24"/>
          <w:szCs w:val="24"/>
        </w:rPr>
        <w:t>10.1007/s11187-013-9505-9</w:t>
      </w:r>
    </w:p>
    <w:p w14:paraId="46AF944A" w14:textId="77777777" w:rsidR="00A11879" w:rsidRPr="005E477E" w:rsidRDefault="00A11879" w:rsidP="005E477E">
      <w:pPr>
        <w:spacing w:after="60" w:line="276" w:lineRule="auto"/>
        <w:ind w:left="720" w:hanging="720"/>
        <w:jc w:val="both"/>
        <w:rPr>
          <w:rFonts w:cstheme="minorHAnsi"/>
          <w:sz w:val="24"/>
          <w:szCs w:val="24"/>
        </w:rPr>
      </w:pPr>
      <w:r w:rsidRPr="005E477E">
        <w:rPr>
          <w:rFonts w:cstheme="minorHAnsi"/>
          <w:sz w:val="24"/>
          <w:szCs w:val="24"/>
        </w:rPr>
        <w:t xml:space="preserve">Acs, Z. J., </w:t>
      </w:r>
      <w:proofErr w:type="spellStart"/>
      <w:r w:rsidRPr="005E477E">
        <w:rPr>
          <w:rFonts w:cstheme="minorHAnsi"/>
          <w:sz w:val="24"/>
          <w:szCs w:val="24"/>
        </w:rPr>
        <w:t>Autio</w:t>
      </w:r>
      <w:proofErr w:type="spellEnd"/>
      <w:r w:rsidRPr="005E477E">
        <w:rPr>
          <w:rFonts w:cstheme="minorHAnsi"/>
          <w:sz w:val="24"/>
          <w:szCs w:val="24"/>
        </w:rPr>
        <w:t xml:space="preserve">, E., &amp; </w:t>
      </w:r>
      <w:proofErr w:type="spellStart"/>
      <w:r w:rsidRPr="005E477E">
        <w:rPr>
          <w:rFonts w:cstheme="minorHAnsi"/>
          <w:sz w:val="24"/>
          <w:szCs w:val="24"/>
        </w:rPr>
        <w:t>Szerb</w:t>
      </w:r>
      <w:proofErr w:type="spellEnd"/>
      <w:r w:rsidRPr="005E477E">
        <w:rPr>
          <w:rFonts w:cstheme="minorHAnsi"/>
          <w:sz w:val="24"/>
          <w:szCs w:val="24"/>
        </w:rPr>
        <w:t xml:space="preserve">, L. (2014). National systems of Entrepreneurship: Measurement issues and policy implications, </w:t>
      </w:r>
      <w:r w:rsidRPr="005E477E">
        <w:rPr>
          <w:rFonts w:cstheme="minorHAnsi"/>
          <w:i/>
          <w:sz w:val="24"/>
          <w:szCs w:val="24"/>
        </w:rPr>
        <w:t>Research Policy</w:t>
      </w:r>
      <w:r w:rsidRPr="005E477E">
        <w:rPr>
          <w:rFonts w:cstheme="minorHAnsi"/>
          <w:sz w:val="24"/>
          <w:szCs w:val="24"/>
        </w:rPr>
        <w:t xml:space="preserve"> 43, 476-494.       doi:10.1016/j.respol.2013.08.016</w:t>
      </w:r>
    </w:p>
    <w:p w14:paraId="58D8AAFB" w14:textId="77777777" w:rsidR="00A11879" w:rsidRPr="005E477E" w:rsidRDefault="00A11879" w:rsidP="005E477E">
      <w:pPr>
        <w:spacing w:after="60" w:line="276" w:lineRule="auto"/>
        <w:ind w:left="720" w:hanging="720"/>
        <w:jc w:val="both"/>
        <w:rPr>
          <w:rFonts w:cstheme="minorHAnsi"/>
          <w:sz w:val="24"/>
          <w:szCs w:val="24"/>
        </w:rPr>
      </w:pPr>
      <w:r w:rsidRPr="005E477E">
        <w:rPr>
          <w:rFonts w:cstheme="minorHAnsi"/>
          <w:sz w:val="24"/>
          <w:szCs w:val="24"/>
        </w:rPr>
        <w:t xml:space="preserve">Acs, Z. J., </w:t>
      </w:r>
      <w:proofErr w:type="spellStart"/>
      <w:r w:rsidRPr="005E477E">
        <w:rPr>
          <w:rFonts w:cstheme="minorHAnsi"/>
          <w:sz w:val="24"/>
          <w:szCs w:val="24"/>
        </w:rPr>
        <w:t>Autio</w:t>
      </w:r>
      <w:proofErr w:type="spellEnd"/>
      <w:r w:rsidRPr="005E477E">
        <w:rPr>
          <w:rFonts w:cstheme="minorHAnsi"/>
          <w:sz w:val="24"/>
          <w:szCs w:val="24"/>
        </w:rPr>
        <w:t xml:space="preserve">, E., &amp; </w:t>
      </w:r>
      <w:proofErr w:type="spellStart"/>
      <w:r w:rsidRPr="005E477E">
        <w:rPr>
          <w:rFonts w:cstheme="minorHAnsi"/>
          <w:sz w:val="24"/>
          <w:szCs w:val="24"/>
        </w:rPr>
        <w:t>Szerb</w:t>
      </w:r>
      <w:proofErr w:type="spellEnd"/>
      <w:r w:rsidRPr="005E477E">
        <w:rPr>
          <w:rFonts w:cstheme="minorHAnsi"/>
          <w:sz w:val="24"/>
          <w:szCs w:val="24"/>
        </w:rPr>
        <w:t xml:space="preserve">, L. (2015). National systems of Entrepreneurship, in Acs, Z. J., </w:t>
      </w:r>
      <w:proofErr w:type="spellStart"/>
      <w:r w:rsidRPr="005E477E">
        <w:rPr>
          <w:rFonts w:cstheme="minorHAnsi"/>
          <w:sz w:val="24"/>
          <w:szCs w:val="24"/>
        </w:rPr>
        <w:t>Autio</w:t>
      </w:r>
      <w:proofErr w:type="spellEnd"/>
      <w:r w:rsidRPr="005E477E">
        <w:rPr>
          <w:rFonts w:cstheme="minorHAnsi"/>
          <w:sz w:val="24"/>
          <w:szCs w:val="24"/>
        </w:rPr>
        <w:t xml:space="preserve">, E. &amp; </w:t>
      </w:r>
      <w:proofErr w:type="spellStart"/>
      <w:r w:rsidRPr="005E477E">
        <w:rPr>
          <w:rFonts w:cstheme="minorHAnsi"/>
          <w:sz w:val="24"/>
          <w:szCs w:val="24"/>
        </w:rPr>
        <w:t>Szerb</w:t>
      </w:r>
      <w:proofErr w:type="spellEnd"/>
      <w:r w:rsidRPr="005E477E">
        <w:rPr>
          <w:rFonts w:cstheme="minorHAnsi"/>
          <w:sz w:val="24"/>
          <w:szCs w:val="24"/>
        </w:rPr>
        <w:t>, L. (</w:t>
      </w:r>
      <w:proofErr w:type="spellStart"/>
      <w:r w:rsidRPr="005E477E">
        <w:rPr>
          <w:rFonts w:cstheme="minorHAnsi"/>
          <w:sz w:val="24"/>
          <w:szCs w:val="24"/>
        </w:rPr>
        <w:t>eds</w:t>
      </w:r>
      <w:proofErr w:type="spellEnd"/>
      <w:r w:rsidRPr="005E477E">
        <w:rPr>
          <w:rFonts w:cstheme="minorHAnsi"/>
          <w:sz w:val="24"/>
          <w:szCs w:val="24"/>
        </w:rPr>
        <w:t xml:space="preserve">): Global Entrepreneurship and development Index 2014, Heidelberg: Springer, </w:t>
      </w:r>
      <w:proofErr w:type="spellStart"/>
      <w:r w:rsidRPr="005E477E">
        <w:rPr>
          <w:rFonts w:cstheme="minorHAnsi"/>
          <w:sz w:val="24"/>
          <w:szCs w:val="24"/>
        </w:rPr>
        <w:t>SpringerBriefs</w:t>
      </w:r>
      <w:proofErr w:type="spellEnd"/>
      <w:r w:rsidRPr="005E477E">
        <w:rPr>
          <w:rFonts w:cstheme="minorHAnsi"/>
          <w:sz w:val="24"/>
          <w:szCs w:val="24"/>
        </w:rPr>
        <w:t xml:space="preserve"> in Economics, Chapter 2, 13-26. doi:10.1007/978-3-319-14932-5_2.</w:t>
      </w:r>
    </w:p>
    <w:p w14:paraId="0B243FB2" w14:textId="77777777" w:rsidR="00A11879" w:rsidRPr="005E477E" w:rsidRDefault="00A11879" w:rsidP="005E477E">
      <w:pPr>
        <w:spacing w:after="60" w:line="276" w:lineRule="auto"/>
        <w:ind w:left="720" w:hanging="720"/>
        <w:jc w:val="both"/>
        <w:rPr>
          <w:rFonts w:cstheme="minorHAnsi"/>
          <w:sz w:val="24"/>
          <w:szCs w:val="24"/>
        </w:rPr>
      </w:pPr>
      <w:r w:rsidRPr="005E477E">
        <w:rPr>
          <w:rFonts w:cstheme="minorHAnsi"/>
          <w:sz w:val="24"/>
          <w:szCs w:val="24"/>
          <w:lang w:val="de-DE"/>
        </w:rPr>
        <w:t xml:space="preserve">Acs, Z.J., </w:t>
      </w:r>
      <w:proofErr w:type="spellStart"/>
      <w:r w:rsidRPr="005E477E">
        <w:rPr>
          <w:rFonts w:cstheme="minorHAnsi"/>
          <w:sz w:val="24"/>
          <w:szCs w:val="24"/>
          <w:lang w:val="de-DE"/>
        </w:rPr>
        <w:t>Audretsch</w:t>
      </w:r>
      <w:proofErr w:type="spellEnd"/>
      <w:r w:rsidRPr="005E477E">
        <w:rPr>
          <w:rFonts w:cstheme="minorHAnsi"/>
          <w:sz w:val="24"/>
          <w:szCs w:val="24"/>
          <w:lang w:val="de-DE"/>
        </w:rPr>
        <w:t xml:space="preserve">, D. B., Lehmann, E. E.  </w:t>
      </w:r>
      <w:r w:rsidRPr="005E477E">
        <w:rPr>
          <w:rFonts w:cstheme="minorHAnsi"/>
          <w:sz w:val="24"/>
          <w:szCs w:val="24"/>
        </w:rPr>
        <w:t xml:space="preserve">&amp; Licht, G. (2016): National System of Innovation, </w:t>
      </w:r>
      <w:r w:rsidRPr="005E477E">
        <w:rPr>
          <w:rFonts w:cstheme="minorHAnsi"/>
          <w:i/>
          <w:sz w:val="24"/>
          <w:szCs w:val="24"/>
        </w:rPr>
        <w:t>Journal of Technology Transfer</w:t>
      </w:r>
      <w:r w:rsidRPr="005E477E">
        <w:rPr>
          <w:rFonts w:cstheme="minorHAnsi"/>
          <w:sz w:val="24"/>
          <w:szCs w:val="24"/>
        </w:rPr>
        <w:t xml:space="preserve">, forthcoming. </w:t>
      </w:r>
    </w:p>
    <w:p w14:paraId="7C313217" w14:textId="77777777" w:rsidR="00023F04" w:rsidRPr="005E477E" w:rsidRDefault="00023F04" w:rsidP="005E477E">
      <w:pPr>
        <w:adjustRightInd w:val="0"/>
        <w:spacing w:after="60" w:line="276" w:lineRule="auto"/>
        <w:ind w:left="709" w:hanging="709"/>
        <w:jc w:val="both"/>
        <w:rPr>
          <w:sz w:val="24"/>
          <w:szCs w:val="24"/>
        </w:rPr>
      </w:pPr>
      <w:r w:rsidRPr="005E477E">
        <w:rPr>
          <w:sz w:val="24"/>
          <w:szCs w:val="24"/>
        </w:rPr>
        <w:t xml:space="preserve">Acs, Z. .J., L. </w:t>
      </w:r>
      <w:proofErr w:type="spellStart"/>
      <w:r w:rsidRPr="005E477E">
        <w:rPr>
          <w:sz w:val="24"/>
          <w:szCs w:val="24"/>
        </w:rPr>
        <w:t>Szerb</w:t>
      </w:r>
      <w:proofErr w:type="spellEnd"/>
      <w:r w:rsidRPr="005E477E">
        <w:rPr>
          <w:sz w:val="24"/>
          <w:szCs w:val="24"/>
        </w:rPr>
        <w:t xml:space="preserve"> (2009) The global entrepreneurship Index (GEINDEX), </w:t>
      </w:r>
      <w:r w:rsidRPr="005E477E">
        <w:rPr>
          <w:i/>
          <w:sz w:val="24"/>
          <w:szCs w:val="24"/>
        </w:rPr>
        <w:t>Foundations and Trends in Entrepreneurship</w:t>
      </w:r>
      <w:r w:rsidRPr="005E477E">
        <w:rPr>
          <w:sz w:val="24"/>
          <w:szCs w:val="24"/>
        </w:rPr>
        <w:t xml:space="preserve"> 5(5): 341-435</w:t>
      </w:r>
    </w:p>
    <w:p w14:paraId="0644038A" w14:textId="77777777" w:rsidR="00F0390F" w:rsidRPr="005E477E" w:rsidRDefault="00F0390F" w:rsidP="005E477E">
      <w:pPr>
        <w:spacing w:after="60" w:line="276" w:lineRule="auto"/>
        <w:ind w:left="709" w:hanging="709"/>
        <w:jc w:val="both"/>
        <w:rPr>
          <w:sz w:val="24"/>
          <w:szCs w:val="24"/>
        </w:rPr>
      </w:pPr>
      <w:r w:rsidRPr="005E477E">
        <w:rPr>
          <w:sz w:val="24"/>
          <w:szCs w:val="24"/>
        </w:rPr>
        <w:t xml:space="preserve">Acs, Z.J. L. </w:t>
      </w:r>
      <w:proofErr w:type="spellStart"/>
      <w:r w:rsidRPr="005E477E">
        <w:rPr>
          <w:sz w:val="24"/>
          <w:szCs w:val="24"/>
        </w:rPr>
        <w:t>Szerb</w:t>
      </w:r>
      <w:proofErr w:type="spellEnd"/>
      <w:r w:rsidRPr="005E477E">
        <w:rPr>
          <w:sz w:val="24"/>
          <w:szCs w:val="24"/>
        </w:rPr>
        <w:t xml:space="preserve"> and E. </w:t>
      </w:r>
      <w:proofErr w:type="spellStart"/>
      <w:r w:rsidRPr="005E477E">
        <w:rPr>
          <w:sz w:val="24"/>
          <w:szCs w:val="24"/>
        </w:rPr>
        <w:t>Autio</w:t>
      </w:r>
      <w:proofErr w:type="spellEnd"/>
      <w:r w:rsidRPr="005E477E">
        <w:rPr>
          <w:sz w:val="24"/>
          <w:szCs w:val="24"/>
        </w:rPr>
        <w:t xml:space="preserve"> (2015) </w:t>
      </w:r>
      <w:r w:rsidRPr="005E477E">
        <w:rPr>
          <w:i/>
          <w:sz w:val="24"/>
          <w:szCs w:val="24"/>
        </w:rPr>
        <w:t>The Global Entrepreneurship and Development Index</w:t>
      </w:r>
      <w:r w:rsidRPr="005E477E">
        <w:rPr>
          <w:sz w:val="24"/>
          <w:szCs w:val="24"/>
        </w:rPr>
        <w:t xml:space="preserve"> 2014, Springer International Publishing, </w:t>
      </w:r>
    </w:p>
    <w:p w14:paraId="5D7C6A5F" w14:textId="29803F07" w:rsidR="00DC466D" w:rsidRPr="005E477E" w:rsidRDefault="00DC466D" w:rsidP="005E477E">
      <w:pPr>
        <w:spacing w:after="60" w:line="276" w:lineRule="auto"/>
        <w:jc w:val="both"/>
        <w:rPr>
          <w:rFonts w:cs="Trebuchet MS"/>
          <w:color w:val="0000FF"/>
          <w:sz w:val="24"/>
          <w:szCs w:val="24"/>
          <w:lang w:val="en-US"/>
        </w:rPr>
      </w:pPr>
      <w:r w:rsidRPr="005E477E">
        <w:rPr>
          <w:rFonts w:cstheme="minorHAnsi"/>
          <w:sz w:val="24"/>
          <w:szCs w:val="24"/>
        </w:rPr>
        <w:t xml:space="preserve">Acs, Z. J., </w:t>
      </w:r>
      <w:proofErr w:type="spellStart"/>
      <w:r w:rsidRPr="005E477E">
        <w:rPr>
          <w:sz w:val="24"/>
          <w:szCs w:val="24"/>
        </w:rPr>
        <w:t>Szerb</w:t>
      </w:r>
      <w:proofErr w:type="spellEnd"/>
      <w:r w:rsidRPr="005E477E">
        <w:rPr>
          <w:sz w:val="24"/>
          <w:szCs w:val="24"/>
        </w:rPr>
        <w:t>, L., Ortega-</w:t>
      </w:r>
      <w:proofErr w:type="spellStart"/>
      <w:r w:rsidRPr="005E477E">
        <w:rPr>
          <w:sz w:val="24"/>
          <w:szCs w:val="24"/>
        </w:rPr>
        <w:t>Argilés</w:t>
      </w:r>
      <w:proofErr w:type="spellEnd"/>
      <w:r w:rsidR="00AB6950" w:rsidRPr="005E477E">
        <w:rPr>
          <w:sz w:val="24"/>
          <w:szCs w:val="24"/>
        </w:rPr>
        <w:t>, R.</w:t>
      </w:r>
      <w:r w:rsidRPr="005E477E">
        <w:rPr>
          <w:sz w:val="24"/>
          <w:szCs w:val="24"/>
        </w:rPr>
        <w:t xml:space="preserve">, </w:t>
      </w:r>
      <w:proofErr w:type="spellStart"/>
      <w:r w:rsidRPr="005E477E">
        <w:rPr>
          <w:sz w:val="24"/>
          <w:szCs w:val="24"/>
        </w:rPr>
        <w:t>A</w:t>
      </w:r>
      <w:r w:rsidR="00AB6950" w:rsidRPr="005E477E">
        <w:rPr>
          <w:sz w:val="24"/>
          <w:szCs w:val="24"/>
        </w:rPr>
        <w:t>i</w:t>
      </w:r>
      <w:r w:rsidRPr="005E477E">
        <w:rPr>
          <w:sz w:val="24"/>
          <w:szCs w:val="24"/>
        </w:rPr>
        <w:t>dis</w:t>
      </w:r>
      <w:proofErr w:type="spellEnd"/>
      <w:r w:rsidR="00AB6950" w:rsidRPr="005E477E">
        <w:rPr>
          <w:sz w:val="24"/>
          <w:szCs w:val="24"/>
        </w:rPr>
        <w:t>, R</w:t>
      </w:r>
      <w:r w:rsidRPr="005E477E">
        <w:rPr>
          <w:sz w:val="24"/>
          <w:szCs w:val="24"/>
        </w:rPr>
        <w:t xml:space="preserve"> &amp; </w:t>
      </w:r>
      <w:proofErr w:type="spellStart"/>
      <w:r w:rsidRPr="005E477E">
        <w:rPr>
          <w:sz w:val="24"/>
          <w:szCs w:val="24"/>
        </w:rPr>
        <w:t>Coduras</w:t>
      </w:r>
      <w:proofErr w:type="spellEnd"/>
      <w:r w:rsidR="00AB6950" w:rsidRPr="005E477E">
        <w:rPr>
          <w:sz w:val="24"/>
          <w:szCs w:val="24"/>
        </w:rPr>
        <w:t xml:space="preserve">., A. (2016). The Regional Application </w:t>
      </w:r>
      <w:r w:rsidR="00AB6950" w:rsidRPr="005E477E">
        <w:rPr>
          <w:sz w:val="24"/>
          <w:szCs w:val="24"/>
        </w:rPr>
        <w:tab/>
        <w:t xml:space="preserve">of the Global Entrepreneurship and Development Index (GEDI): The Case of Spain, </w:t>
      </w:r>
      <w:r w:rsidR="00AB6950" w:rsidRPr="005E477E">
        <w:rPr>
          <w:sz w:val="24"/>
          <w:szCs w:val="24"/>
        </w:rPr>
        <w:tab/>
      </w:r>
      <w:r w:rsidR="00AB6950" w:rsidRPr="005E477E">
        <w:rPr>
          <w:i/>
          <w:sz w:val="24"/>
          <w:szCs w:val="24"/>
        </w:rPr>
        <w:t xml:space="preserve">Regional Studies. </w:t>
      </w:r>
      <w:proofErr w:type="spellStart"/>
      <w:r w:rsidR="00AB6950" w:rsidRPr="005E477E">
        <w:rPr>
          <w:i/>
          <w:sz w:val="24"/>
          <w:szCs w:val="24"/>
        </w:rPr>
        <w:t>Doi</w:t>
      </w:r>
      <w:proofErr w:type="spellEnd"/>
      <w:r w:rsidR="00AB6950" w:rsidRPr="005E477E">
        <w:rPr>
          <w:i/>
          <w:sz w:val="24"/>
          <w:szCs w:val="24"/>
        </w:rPr>
        <w:t>:</w:t>
      </w:r>
      <w:r w:rsidR="00AB6950" w:rsidRPr="005E477E">
        <w:rPr>
          <w:rFonts w:cs="Trebuchet MS"/>
          <w:color w:val="0000FF"/>
          <w:sz w:val="24"/>
          <w:szCs w:val="24"/>
          <w:lang w:val="en-US"/>
        </w:rPr>
        <w:t xml:space="preserve"> 10.1080/00343404.2014.888712</w:t>
      </w:r>
    </w:p>
    <w:p w14:paraId="6A2B153B" w14:textId="11DA5D71" w:rsidR="00E6673C" w:rsidRPr="005E477E" w:rsidRDefault="00E6673C" w:rsidP="005E477E">
      <w:pPr>
        <w:spacing w:after="60" w:line="276" w:lineRule="auto"/>
        <w:jc w:val="both"/>
        <w:rPr>
          <w:rFonts w:eastAsia="Times New Roman"/>
          <w:sz w:val="24"/>
          <w:szCs w:val="24"/>
          <w:lang w:eastAsia="hu-HU"/>
        </w:rPr>
      </w:pPr>
      <w:proofErr w:type="spellStart"/>
      <w:r w:rsidRPr="005E477E">
        <w:rPr>
          <w:rFonts w:eastAsia="Times New Roman"/>
          <w:sz w:val="24"/>
          <w:szCs w:val="24"/>
          <w:lang w:eastAsia="hu-HU"/>
        </w:rPr>
        <w:t>Afonso</w:t>
      </w:r>
      <w:proofErr w:type="spellEnd"/>
      <w:r w:rsidRPr="005E477E">
        <w:rPr>
          <w:rFonts w:eastAsia="Times New Roman"/>
          <w:sz w:val="24"/>
          <w:szCs w:val="24"/>
          <w:lang w:eastAsia="hu-HU"/>
        </w:rPr>
        <w:t xml:space="preserve">, A., </w:t>
      </w:r>
      <w:proofErr w:type="spellStart"/>
      <w:r w:rsidRPr="005E477E">
        <w:rPr>
          <w:rFonts w:eastAsia="Times New Roman"/>
          <w:sz w:val="24"/>
          <w:szCs w:val="24"/>
          <w:lang w:eastAsia="hu-HU"/>
        </w:rPr>
        <w:t>Schuknecht</w:t>
      </w:r>
      <w:proofErr w:type="spellEnd"/>
      <w:r w:rsidRPr="005E477E">
        <w:rPr>
          <w:rFonts w:eastAsia="Times New Roman"/>
          <w:sz w:val="24"/>
          <w:szCs w:val="24"/>
          <w:lang w:eastAsia="hu-HU"/>
        </w:rPr>
        <w:t xml:space="preserve">, L., &amp; </w:t>
      </w:r>
      <w:proofErr w:type="spellStart"/>
      <w:r w:rsidRPr="005E477E">
        <w:rPr>
          <w:rFonts w:eastAsia="Times New Roman"/>
          <w:sz w:val="24"/>
          <w:szCs w:val="24"/>
          <w:lang w:eastAsia="hu-HU"/>
        </w:rPr>
        <w:t>Tanzi</w:t>
      </w:r>
      <w:proofErr w:type="spellEnd"/>
      <w:r w:rsidRPr="005E477E">
        <w:rPr>
          <w:rFonts w:eastAsia="Times New Roman"/>
          <w:sz w:val="24"/>
          <w:szCs w:val="24"/>
          <w:lang w:eastAsia="hu-HU"/>
        </w:rPr>
        <w:t xml:space="preserve">, V. (2005). Public sector efficiency: an international </w:t>
      </w:r>
      <w:r w:rsidRPr="005E477E">
        <w:rPr>
          <w:rFonts w:eastAsia="Times New Roman"/>
          <w:sz w:val="24"/>
          <w:szCs w:val="24"/>
          <w:lang w:eastAsia="hu-HU"/>
        </w:rPr>
        <w:tab/>
        <w:t xml:space="preserve">comparison. </w:t>
      </w:r>
      <w:r w:rsidRPr="005E477E">
        <w:rPr>
          <w:rFonts w:eastAsia="Times New Roman"/>
          <w:i/>
          <w:iCs/>
          <w:sz w:val="24"/>
          <w:szCs w:val="24"/>
          <w:lang w:eastAsia="hu-HU"/>
        </w:rPr>
        <w:t>Public choice</w:t>
      </w:r>
      <w:r w:rsidRPr="005E477E">
        <w:rPr>
          <w:rFonts w:eastAsia="Times New Roman"/>
          <w:sz w:val="24"/>
          <w:szCs w:val="24"/>
          <w:lang w:eastAsia="hu-HU"/>
        </w:rPr>
        <w:t xml:space="preserve">, </w:t>
      </w:r>
      <w:r w:rsidRPr="005E477E">
        <w:rPr>
          <w:rFonts w:eastAsia="Times New Roman"/>
          <w:i/>
          <w:iCs/>
          <w:sz w:val="24"/>
          <w:szCs w:val="24"/>
          <w:lang w:eastAsia="hu-HU"/>
        </w:rPr>
        <w:t>123</w:t>
      </w:r>
      <w:r w:rsidRPr="005E477E">
        <w:rPr>
          <w:rFonts w:eastAsia="Times New Roman"/>
          <w:sz w:val="24"/>
          <w:szCs w:val="24"/>
          <w:lang w:eastAsia="hu-HU"/>
        </w:rPr>
        <w:t>(3-4), 321-347.</w:t>
      </w:r>
    </w:p>
    <w:p w14:paraId="58D4CA04" w14:textId="77777777" w:rsidR="008F2315" w:rsidRPr="005E477E" w:rsidRDefault="008F2315" w:rsidP="005E477E">
      <w:pPr>
        <w:spacing w:after="60" w:line="276" w:lineRule="auto"/>
        <w:ind w:left="709" w:hanging="709"/>
        <w:jc w:val="both"/>
        <w:rPr>
          <w:sz w:val="24"/>
          <w:szCs w:val="24"/>
        </w:rPr>
      </w:pPr>
      <w:r w:rsidRPr="005E477E">
        <w:rPr>
          <w:sz w:val="24"/>
          <w:szCs w:val="24"/>
        </w:rPr>
        <w:t xml:space="preserve">Arthurs, J. D., &amp; </w:t>
      </w:r>
      <w:proofErr w:type="spellStart"/>
      <w:r w:rsidRPr="005E477E">
        <w:rPr>
          <w:sz w:val="24"/>
          <w:szCs w:val="24"/>
        </w:rPr>
        <w:t>Busenitz</w:t>
      </w:r>
      <w:proofErr w:type="spellEnd"/>
      <w:r w:rsidRPr="005E477E">
        <w:rPr>
          <w:sz w:val="24"/>
          <w:szCs w:val="24"/>
        </w:rPr>
        <w:t xml:space="preserve">, L. W. (2006). Dynamic capabilities and venture performance: The effects of venture capitalists. </w:t>
      </w:r>
      <w:r w:rsidRPr="005E477E">
        <w:rPr>
          <w:i/>
          <w:iCs/>
          <w:sz w:val="24"/>
          <w:szCs w:val="24"/>
        </w:rPr>
        <w:t>Journal of Business Venturing</w:t>
      </w:r>
      <w:r w:rsidRPr="005E477E">
        <w:rPr>
          <w:sz w:val="24"/>
          <w:szCs w:val="24"/>
        </w:rPr>
        <w:t xml:space="preserve">, </w:t>
      </w:r>
      <w:r w:rsidRPr="005E477E">
        <w:rPr>
          <w:i/>
          <w:iCs/>
          <w:sz w:val="24"/>
          <w:szCs w:val="24"/>
        </w:rPr>
        <w:t>21</w:t>
      </w:r>
      <w:r w:rsidRPr="005E477E">
        <w:rPr>
          <w:sz w:val="24"/>
          <w:szCs w:val="24"/>
        </w:rPr>
        <w:t>(2), 195-215.</w:t>
      </w:r>
    </w:p>
    <w:p w14:paraId="04BB2A4D" w14:textId="325EB84A" w:rsidR="00C970BD" w:rsidRPr="005E477E" w:rsidRDefault="00C970BD" w:rsidP="005E477E">
      <w:pPr>
        <w:spacing w:after="60" w:line="276" w:lineRule="auto"/>
        <w:ind w:left="709" w:hanging="709"/>
        <w:jc w:val="both"/>
        <w:rPr>
          <w:sz w:val="24"/>
          <w:szCs w:val="24"/>
        </w:rPr>
      </w:pPr>
      <w:r w:rsidRPr="005E477E">
        <w:rPr>
          <w:sz w:val="24"/>
          <w:szCs w:val="24"/>
        </w:rPr>
        <w:t xml:space="preserve">Agrawal, A. K., </w:t>
      </w:r>
      <w:proofErr w:type="spellStart"/>
      <w:r w:rsidRPr="005E477E">
        <w:rPr>
          <w:sz w:val="24"/>
          <w:szCs w:val="24"/>
        </w:rPr>
        <w:t>Catalini</w:t>
      </w:r>
      <w:proofErr w:type="spellEnd"/>
      <w:r w:rsidRPr="005E477E">
        <w:rPr>
          <w:sz w:val="24"/>
          <w:szCs w:val="24"/>
        </w:rPr>
        <w:t xml:space="preserve">, C., Goldfarb, A. (2013). </w:t>
      </w:r>
      <w:r w:rsidRPr="005E477E">
        <w:rPr>
          <w:i/>
          <w:iCs/>
          <w:sz w:val="24"/>
          <w:szCs w:val="24"/>
        </w:rPr>
        <w:t>Some simple economics of crowdfunding</w:t>
      </w:r>
      <w:r w:rsidRPr="005E477E">
        <w:rPr>
          <w:sz w:val="24"/>
          <w:szCs w:val="24"/>
        </w:rPr>
        <w:t xml:space="preserve"> (No. w19133). National Bureau of Economic Research.</w:t>
      </w:r>
    </w:p>
    <w:p w14:paraId="08AC4158" w14:textId="1B527DBA" w:rsidR="00A11879" w:rsidRPr="005E477E" w:rsidRDefault="00C970BD" w:rsidP="005E477E">
      <w:pPr>
        <w:spacing w:after="60" w:line="276" w:lineRule="auto"/>
        <w:ind w:left="720" w:hanging="720"/>
        <w:jc w:val="both"/>
        <w:rPr>
          <w:rFonts w:cstheme="minorHAnsi"/>
          <w:bCs/>
          <w:sz w:val="24"/>
          <w:szCs w:val="24"/>
        </w:rPr>
      </w:pPr>
      <w:r w:rsidRPr="005E477E">
        <w:rPr>
          <w:rFonts w:cstheme="minorHAnsi"/>
          <w:bCs/>
          <w:sz w:val="24"/>
          <w:szCs w:val="24"/>
          <w:lang w:val="de-DE"/>
        </w:rPr>
        <w:t xml:space="preserve"> </w:t>
      </w:r>
      <w:proofErr w:type="spellStart"/>
      <w:r w:rsidR="00A11879" w:rsidRPr="005E477E">
        <w:rPr>
          <w:rFonts w:cstheme="minorHAnsi"/>
          <w:bCs/>
          <w:sz w:val="24"/>
          <w:szCs w:val="24"/>
          <w:lang w:val="de-DE"/>
        </w:rPr>
        <w:t>Audretsch</w:t>
      </w:r>
      <w:proofErr w:type="spellEnd"/>
      <w:r w:rsidR="00A11879" w:rsidRPr="005E477E">
        <w:rPr>
          <w:rFonts w:cstheme="minorHAnsi"/>
          <w:bCs/>
          <w:sz w:val="24"/>
          <w:szCs w:val="24"/>
          <w:lang w:val="de-DE"/>
        </w:rPr>
        <w:t xml:space="preserve">, D. B. &amp; </w:t>
      </w:r>
      <w:proofErr w:type="spellStart"/>
      <w:r w:rsidR="00A11879" w:rsidRPr="005E477E">
        <w:rPr>
          <w:rFonts w:cstheme="minorHAnsi"/>
          <w:bCs/>
          <w:sz w:val="24"/>
          <w:szCs w:val="24"/>
          <w:lang w:val="de-DE"/>
        </w:rPr>
        <w:t>Caiazza</w:t>
      </w:r>
      <w:proofErr w:type="spellEnd"/>
      <w:r w:rsidR="00A11879" w:rsidRPr="005E477E">
        <w:rPr>
          <w:rFonts w:cstheme="minorHAnsi"/>
          <w:bCs/>
          <w:sz w:val="24"/>
          <w:szCs w:val="24"/>
          <w:lang w:val="de-DE"/>
        </w:rPr>
        <w:t xml:space="preserve">, R. (2015). </w:t>
      </w:r>
      <w:r w:rsidR="00A11879" w:rsidRPr="005E477E">
        <w:rPr>
          <w:rFonts w:cstheme="minorHAnsi"/>
          <w:bCs/>
          <w:sz w:val="24"/>
          <w:szCs w:val="24"/>
        </w:rPr>
        <w:t xml:space="preserve">Technology transfer and entrepreneurship: cross-national analysis, Journal of Technology Transfer, doi:10.1007/s10961-015-9441-8. </w:t>
      </w:r>
    </w:p>
    <w:p w14:paraId="5C469FA2" w14:textId="4C965572" w:rsidR="007D0185" w:rsidRPr="005E477E" w:rsidRDefault="007D0185" w:rsidP="005E477E">
      <w:pPr>
        <w:pStyle w:val="NoSpacing"/>
        <w:spacing w:after="60" w:line="276" w:lineRule="auto"/>
        <w:jc w:val="both"/>
        <w:rPr>
          <w:sz w:val="24"/>
          <w:szCs w:val="24"/>
          <w:lang w:val="en-US"/>
        </w:rPr>
      </w:pPr>
      <w:proofErr w:type="spellStart"/>
      <w:r w:rsidRPr="005E477E">
        <w:rPr>
          <w:sz w:val="24"/>
          <w:szCs w:val="24"/>
          <w:lang w:val="en-US"/>
        </w:rPr>
        <w:lastRenderedPageBreak/>
        <w:t>Audretsch</w:t>
      </w:r>
      <w:proofErr w:type="spellEnd"/>
      <w:r w:rsidRPr="005E477E">
        <w:rPr>
          <w:sz w:val="24"/>
          <w:szCs w:val="24"/>
          <w:lang w:val="en-US"/>
        </w:rPr>
        <w:t xml:space="preserve">, D., </w:t>
      </w:r>
      <w:proofErr w:type="spellStart"/>
      <w:r w:rsidRPr="005E477E">
        <w:rPr>
          <w:sz w:val="24"/>
          <w:szCs w:val="24"/>
          <w:lang w:val="en-US"/>
        </w:rPr>
        <w:t>Keilbach</w:t>
      </w:r>
      <w:proofErr w:type="spellEnd"/>
      <w:r w:rsidRPr="005E477E">
        <w:rPr>
          <w:sz w:val="24"/>
          <w:szCs w:val="24"/>
          <w:lang w:val="en-US"/>
        </w:rPr>
        <w:t xml:space="preserve">, M. Entrepreneurship and regional growth: an evolutionary </w:t>
      </w:r>
      <w:r w:rsidRPr="005E477E">
        <w:rPr>
          <w:sz w:val="24"/>
          <w:szCs w:val="24"/>
          <w:lang w:val="en-US"/>
        </w:rPr>
        <w:tab/>
        <w:t xml:space="preserve">interpretation. Journal of Evolutionary Economics. ISSN: 1432-1386, 2004, vol. 14, p. </w:t>
      </w:r>
      <w:r w:rsidRPr="005E477E">
        <w:rPr>
          <w:sz w:val="24"/>
          <w:szCs w:val="24"/>
          <w:lang w:val="en-US"/>
        </w:rPr>
        <w:tab/>
        <w:t>605–616.</w:t>
      </w:r>
    </w:p>
    <w:p w14:paraId="5A09DA56" w14:textId="470A058F" w:rsidR="007D0185" w:rsidRPr="005E477E" w:rsidRDefault="007D0185" w:rsidP="005E477E">
      <w:pPr>
        <w:pStyle w:val="NoSpacing"/>
        <w:spacing w:after="60" w:line="276" w:lineRule="auto"/>
        <w:jc w:val="both"/>
        <w:rPr>
          <w:sz w:val="24"/>
          <w:szCs w:val="24"/>
          <w:lang w:val="en-US"/>
        </w:rPr>
      </w:pPr>
      <w:proofErr w:type="spellStart"/>
      <w:r w:rsidRPr="005E477E">
        <w:rPr>
          <w:sz w:val="24"/>
          <w:szCs w:val="24"/>
          <w:lang w:val="en-US"/>
        </w:rPr>
        <w:t>Audretsch</w:t>
      </w:r>
      <w:proofErr w:type="spellEnd"/>
      <w:r w:rsidRPr="005E477E">
        <w:rPr>
          <w:sz w:val="24"/>
          <w:szCs w:val="24"/>
          <w:lang w:val="en-US"/>
        </w:rPr>
        <w:t xml:space="preserve">, D., </w:t>
      </w:r>
      <w:proofErr w:type="spellStart"/>
      <w:r w:rsidRPr="005E477E">
        <w:rPr>
          <w:sz w:val="24"/>
          <w:szCs w:val="24"/>
          <w:lang w:val="en-US"/>
        </w:rPr>
        <w:t>Heger</w:t>
      </w:r>
      <w:proofErr w:type="spellEnd"/>
      <w:r w:rsidRPr="005E477E">
        <w:rPr>
          <w:sz w:val="24"/>
          <w:szCs w:val="24"/>
          <w:lang w:val="en-US"/>
        </w:rPr>
        <w:t xml:space="preserve">, D., </w:t>
      </w:r>
      <w:proofErr w:type="spellStart"/>
      <w:r w:rsidRPr="005E477E">
        <w:rPr>
          <w:sz w:val="24"/>
          <w:szCs w:val="24"/>
          <w:lang w:val="en-US"/>
        </w:rPr>
        <w:t>Veith</w:t>
      </w:r>
      <w:proofErr w:type="spellEnd"/>
      <w:r w:rsidRPr="005E477E">
        <w:rPr>
          <w:sz w:val="24"/>
          <w:szCs w:val="24"/>
          <w:lang w:val="en-US"/>
        </w:rPr>
        <w:t xml:space="preserve">, T.: Infrastructure and entrepreneurship. Small Bus Econ </w:t>
      </w:r>
      <w:r w:rsidRPr="005E477E">
        <w:rPr>
          <w:sz w:val="24"/>
          <w:szCs w:val="24"/>
          <w:lang w:val="en-US"/>
        </w:rPr>
        <w:tab/>
        <w:t>(2015) 44:219–230</w:t>
      </w:r>
    </w:p>
    <w:p w14:paraId="524CF19C" w14:textId="6CDDBC1F" w:rsidR="007D0185" w:rsidRPr="005E477E" w:rsidRDefault="007D0185" w:rsidP="005E477E">
      <w:pPr>
        <w:pStyle w:val="NoSpacing"/>
        <w:spacing w:after="60" w:line="276" w:lineRule="auto"/>
        <w:jc w:val="both"/>
        <w:rPr>
          <w:sz w:val="24"/>
          <w:szCs w:val="24"/>
          <w:lang w:val="en-US"/>
        </w:rPr>
      </w:pPr>
      <w:proofErr w:type="spellStart"/>
      <w:r w:rsidRPr="005E477E">
        <w:rPr>
          <w:sz w:val="24"/>
          <w:szCs w:val="24"/>
          <w:lang w:val="en-US"/>
        </w:rPr>
        <w:t>Audretsch</w:t>
      </w:r>
      <w:proofErr w:type="spellEnd"/>
      <w:r w:rsidRPr="005E477E">
        <w:rPr>
          <w:sz w:val="24"/>
          <w:szCs w:val="24"/>
          <w:lang w:val="en-US"/>
        </w:rPr>
        <w:t xml:space="preserve">, D., </w:t>
      </w:r>
      <w:proofErr w:type="spellStart"/>
      <w:r w:rsidRPr="005E477E">
        <w:rPr>
          <w:sz w:val="24"/>
          <w:szCs w:val="24"/>
          <w:lang w:val="en-US"/>
        </w:rPr>
        <w:t>Dohse</w:t>
      </w:r>
      <w:proofErr w:type="spellEnd"/>
      <w:r w:rsidRPr="005E477E">
        <w:rPr>
          <w:sz w:val="24"/>
          <w:szCs w:val="24"/>
          <w:lang w:val="en-US"/>
        </w:rPr>
        <w:t xml:space="preserve">, D., Niebuhr, A. 2015. Regional unemployment structure and new firm </w:t>
      </w:r>
      <w:r w:rsidRPr="005E477E">
        <w:rPr>
          <w:sz w:val="24"/>
          <w:szCs w:val="24"/>
          <w:lang w:val="en-US"/>
        </w:rPr>
        <w:tab/>
        <w:t>formation. Papers in Regional Science. doi:10.1111/pirs.12169</w:t>
      </w:r>
    </w:p>
    <w:p w14:paraId="535390DA" w14:textId="77777777" w:rsidR="00A11879" w:rsidRPr="005E477E" w:rsidRDefault="00A11879" w:rsidP="005E477E">
      <w:pPr>
        <w:spacing w:after="60" w:line="276" w:lineRule="auto"/>
        <w:ind w:left="720" w:hanging="720"/>
        <w:jc w:val="both"/>
        <w:rPr>
          <w:rFonts w:cstheme="minorHAnsi"/>
          <w:bCs/>
          <w:sz w:val="24"/>
          <w:szCs w:val="24"/>
        </w:rPr>
      </w:pPr>
      <w:proofErr w:type="spellStart"/>
      <w:r w:rsidRPr="005E477E">
        <w:rPr>
          <w:rFonts w:cstheme="minorHAnsi"/>
          <w:bCs/>
          <w:sz w:val="24"/>
          <w:szCs w:val="24"/>
        </w:rPr>
        <w:t>Audretsch</w:t>
      </w:r>
      <w:proofErr w:type="spellEnd"/>
      <w:r w:rsidRPr="005E477E">
        <w:rPr>
          <w:rFonts w:cstheme="minorHAnsi"/>
          <w:bCs/>
          <w:sz w:val="24"/>
          <w:szCs w:val="24"/>
        </w:rPr>
        <w:t xml:space="preserve">, D. B. &amp; Lehmann, E. E. (2016) The Seven Secrets of Germany. Economic Resilience in an Era of Global Turbulence, New York: Oxford University Press. </w:t>
      </w:r>
    </w:p>
    <w:p w14:paraId="47E8EAC3" w14:textId="77777777" w:rsidR="00A11879" w:rsidRPr="005E477E" w:rsidRDefault="00A11879" w:rsidP="005E477E">
      <w:pPr>
        <w:spacing w:after="60" w:line="276" w:lineRule="auto"/>
        <w:ind w:left="720" w:hanging="720"/>
        <w:jc w:val="both"/>
        <w:rPr>
          <w:rFonts w:cstheme="minorHAnsi"/>
          <w:sz w:val="24"/>
          <w:szCs w:val="24"/>
        </w:rPr>
      </w:pPr>
      <w:proofErr w:type="spellStart"/>
      <w:r w:rsidRPr="005E477E">
        <w:rPr>
          <w:rFonts w:cstheme="minorHAnsi"/>
          <w:sz w:val="24"/>
          <w:szCs w:val="24"/>
        </w:rPr>
        <w:t>Audretsch</w:t>
      </w:r>
      <w:proofErr w:type="spellEnd"/>
      <w:r w:rsidRPr="005E477E">
        <w:rPr>
          <w:rFonts w:cstheme="minorHAnsi"/>
          <w:sz w:val="24"/>
          <w:szCs w:val="24"/>
        </w:rPr>
        <w:t xml:space="preserve"> , D. B., </w:t>
      </w:r>
      <w:proofErr w:type="spellStart"/>
      <w:r w:rsidRPr="005E477E">
        <w:rPr>
          <w:rFonts w:cstheme="minorHAnsi"/>
          <w:sz w:val="24"/>
          <w:szCs w:val="24"/>
        </w:rPr>
        <w:t>Kuratko</w:t>
      </w:r>
      <w:proofErr w:type="spellEnd"/>
      <w:r w:rsidRPr="005E477E">
        <w:rPr>
          <w:rFonts w:cstheme="minorHAnsi"/>
          <w:sz w:val="24"/>
          <w:szCs w:val="24"/>
        </w:rPr>
        <w:t>, D. F., and Link A. N. (2015), Making sense of the elusive paradigm of entrepreneurship, Small Business Economics, 45(4), 703-712.</w:t>
      </w:r>
      <w:r w:rsidRPr="005E477E">
        <w:rPr>
          <w:sz w:val="24"/>
          <w:szCs w:val="24"/>
        </w:rPr>
        <w:t xml:space="preserve"> </w:t>
      </w:r>
      <w:r w:rsidRPr="005E477E">
        <w:rPr>
          <w:rFonts w:cstheme="minorHAnsi"/>
          <w:sz w:val="24"/>
          <w:szCs w:val="24"/>
        </w:rPr>
        <w:t xml:space="preserve">Doi:10.1007/s11187-015-9663-z </w:t>
      </w:r>
    </w:p>
    <w:p w14:paraId="4D832670" w14:textId="77777777" w:rsidR="00A11879" w:rsidRPr="005E477E" w:rsidRDefault="00A11879" w:rsidP="005E477E">
      <w:pPr>
        <w:spacing w:after="60" w:line="276" w:lineRule="auto"/>
        <w:ind w:left="720" w:hanging="720"/>
        <w:jc w:val="both"/>
        <w:rPr>
          <w:rFonts w:cstheme="minorHAnsi"/>
          <w:bCs/>
          <w:sz w:val="24"/>
          <w:szCs w:val="24"/>
        </w:rPr>
      </w:pPr>
      <w:proofErr w:type="spellStart"/>
      <w:r w:rsidRPr="005E477E">
        <w:rPr>
          <w:rFonts w:cstheme="minorHAnsi"/>
          <w:bCs/>
          <w:sz w:val="24"/>
          <w:szCs w:val="24"/>
          <w:lang w:val="de-DE"/>
        </w:rPr>
        <w:t>Audretsch</w:t>
      </w:r>
      <w:proofErr w:type="spellEnd"/>
      <w:r w:rsidRPr="005E477E">
        <w:rPr>
          <w:rFonts w:cstheme="minorHAnsi"/>
          <w:bCs/>
          <w:sz w:val="24"/>
          <w:szCs w:val="24"/>
          <w:lang w:val="de-DE"/>
        </w:rPr>
        <w:t xml:space="preserve">, D. B., Lehmann, E. E. &amp; </w:t>
      </w:r>
      <w:proofErr w:type="spellStart"/>
      <w:r w:rsidRPr="005E477E">
        <w:rPr>
          <w:rFonts w:cstheme="minorHAnsi"/>
          <w:bCs/>
          <w:sz w:val="24"/>
          <w:szCs w:val="24"/>
          <w:lang w:val="de-DE"/>
        </w:rPr>
        <w:t>Paleari</w:t>
      </w:r>
      <w:proofErr w:type="spellEnd"/>
      <w:r w:rsidRPr="005E477E">
        <w:rPr>
          <w:rFonts w:cstheme="minorHAnsi"/>
          <w:bCs/>
          <w:sz w:val="24"/>
          <w:szCs w:val="24"/>
          <w:lang w:val="de-DE"/>
        </w:rPr>
        <w:t xml:space="preserve">, S. (2015). </w:t>
      </w:r>
      <w:r w:rsidRPr="005E477E">
        <w:rPr>
          <w:rFonts w:cstheme="minorHAnsi"/>
          <w:bCs/>
          <w:sz w:val="24"/>
          <w:szCs w:val="24"/>
        </w:rPr>
        <w:t>Academic policy and entrepreneurship: a European perspective, Journal of Technology Transfer, 40(3), 363-368.</w:t>
      </w:r>
      <w:r w:rsidRPr="005E477E">
        <w:rPr>
          <w:sz w:val="24"/>
          <w:szCs w:val="24"/>
        </w:rPr>
        <w:t xml:space="preserve"> </w:t>
      </w:r>
      <w:r w:rsidRPr="005E477E">
        <w:rPr>
          <w:rFonts w:cstheme="minorHAnsi"/>
          <w:bCs/>
          <w:sz w:val="24"/>
          <w:szCs w:val="24"/>
        </w:rPr>
        <w:t>doi:10.1007/s10961-014-9359-6</w:t>
      </w:r>
    </w:p>
    <w:p w14:paraId="74109517" w14:textId="698F57D2" w:rsidR="0080741C" w:rsidRPr="005E477E" w:rsidRDefault="0080741C" w:rsidP="005E477E">
      <w:pPr>
        <w:spacing w:after="60" w:line="276" w:lineRule="auto"/>
        <w:jc w:val="both"/>
        <w:rPr>
          <w:sz w:val="24"/>
          <w:szCs w:val="24"/>
          <w:lang w:val="en-US"/>
        </w:rPr>
      </w:pPr>
      <w:r w:rsidRPr="005E477E">
        <w:rPr>
          <w:sz w:val="24"/>
          <w:szCs w:val="24"/>
        </w:rPr>
        <w:t xml:space="preserve">Auriol, E. (2013) </w:t>
      </w:r>
      <w:r w:rsidRPr="005E477E">
        <w:rPr>
          <w:rStyle w:val="italic"/>
          <w:sz w:val="24"/>
          <w:szCs w:val="24"/>
        </w:rPr>
        <w:t>Barriers to Formal Entrepreneurship in Developing Countries</w:t>
      </w:r>
      <w:r w:rsidRPr="005E477E">
        <w:rPr>
          <w:sz w:val="24"/>
          <w:szCs w:val="24"/>
        </w:rPr>
        <w:t xml:space="preserve">. World Bank, </w:t>
      </w:r>
      <w:r w:rsidRPr="005E477E">
        <w:rPr>
          <w:sz w:val="24"/>
          <w:szCs w:val="24"/>
        </w:rPr>
        <w:tab/>
        <w:t xml:space="preserve">Washington, DC. © World Bank. </w:t>
      </w:r>
      <w:r w:rsidRPr="005E477E">
        <w:rPr>
          <w:sz w:val="24"/>
          <w:szCs w:val="24"/>
        </w:rPr>
        <w:tab/>
        <w:t>https://openknowledge.worldbank.com/handle/10986/16364 License: CC BY 3.0 IGO.</w:t>
      </w:r>
    </w:p>
    <w:p w14:paraId="3B666A3C" w14:textId="77777777" w:rsidR="00A11879" w:rsidRPr="005E477E" w:rsidRDefault="00A11879" w:rsidP="005E477E">
      <w:pPr>
        <w:spacing w:after="60" w:line="276" w:lineRule="auto"/>
        <w:ind w:left="720" w:hanging="720"/>
        <w:jc w:val="both"/>
        <w:rPr>
          <w:rFonts w:cstheme="minorHAnsi"/>
          <w:bCs/>
          <w:sz w:val="24"/>
          <w:szCs w:val="24"/>
        </w:rPr>
      </w:pPr>
      <w:proofErr w:type="spellStart"/>
      <w:r w:rsidRPr="005E477E">
        <w:rPr>
          <w:rFonts w:cstheme="minorHAnsi"/>
          <w:bCs/>
          <w:sz w:val="24"/>
          <w:szCs w:val="24"/>
        </w:rPr>
        <w:t>Autio</w:t>
      </w:r>
      <w:proofErr w:type="spellEnd"/>
      <w:r w:rsidRPr="005E477E">
        <w:rPr>
          <w:rFonts w:cstheme="minorHAnsi"/>
          <w:bCs/>
          <w:sz w:val="24"/>
          <w:szCs w:val="24"/>
        </w:rPr>
        <w:t xml:space="preserve">, E., J. </w:t>
      </w:r>
      <w:proofErr w:type="spellStart"/>
      <w:r w:rsidRPr="005E477E">
        <w:rPr>
          <w:rFonts w:cstheme="minorHAnsi"/>
          <w:bCs/>
          <w:sz w:val="24"/>
          <w:szCs w:val="24"/>
        </w:rPr>
        <w:t>Levie</w:t>
      </w:r>
      <w:proofErr w:type="spellEnd"/>
      <w:r w:rsidRPr="005E477E">
        <w:rPr>
          <w:rFonts w:cstheme="minorHAnsi"/>
          <w:bCs/>
          <w:sz w:val="24"/>
          <w:szCs w:val="24"/>
        </w:rPr>
        <w:t>. (2015). Management of Entrepreneurial Ecosystems, Imperial college Business School, mimeo</w:t>
      </w:r>
    </w:p>
    <w:p w14:paraId="63064794" w14:textId="77777777" w:rsidR="00A11879" w:rsidRPr="005E477E" w:rsidRDefault="00A11879" w:rsidP="005E477E">
      <w:pPr>
        <w:pStyle w:val="EndNoteBibliography"/>
        <w:spacing w:before="240" w:after="60" w:line="276" w:lineRule="auto"/>
        <w:ind w:left="720" w:hanging="720"/>
        <w:jc w:val="both"/>
        <w:rPr>
          <w:rFonts w:cs="Times New Roman"/>
          <w:sz w:val="24"/>
          <w:szCs w:val="24"/>
        </w:rPr>
      </w:pPr>
      <w:r w:rsidRPr="005E477E">
        <w:rPr>
          <w:rFonts w:cs="Times New Roman"/>
          <w:sz w:val="24"/>
          <w:szCs w:val="24"/>
        </w:rPr>
        <w:t xml:space="preserve">Autio, E., Kenny, M., Mustar, P., Siegel, D.S., &amp;Wright, M. 2015. Entrepreneurial Innovation:  The imortance of Context. </w:t>
      </w:r>
      <w:r w:rsidRPr="005E477E">
        <w:rPr>
          <w:rFonts w:cs="Times New Roman"/>
          <w:bCs/>
          <w:i/>
          <w:iCs/>
          <w:sz w:val="24"/>
          <w:szCs w:val="24"/>
        </w:rPr>
        <w:t>Research Policy</w:t>
      </w:r>
      <w:r w:rsidRPr="005E477E">
        <w:rPr>
          <w:rFonts w:cs="Times New Roman"/>
          <w:sz w:val="24"/>
          <w:szCs w:val="24"/>
        </w:rPr>
        <w:t>43, 1097-1108.</w:t>
      </w:r>
    </w:p>
    <w:p w14:paraId="2C170A93" w14:textId="24525D11" w:rsidR="00FF36E7" w:rsidRPr="005E477E" w:rsidRDefault="00FF36E7" w:rsidP="005E477E">
      <w:pPr>
        <w:pStyle w:val="Caption"/>
        <w:spacing w:after="60" w:line="276" w:lineRule="auto"/>
        <w:ind w:left="709" w:hanging="709"/>
        <w:jc w:val="both"/>
        <w:rPr>
          <w:b w:val="0"/>
          <w:noProof/>
          <w:color w:val="000000" w:themeColor="text1"/>
          <w:sz w:val="24"/>
          <w:szCs w:val="24"/>
        </w:rPr>
      </w:pPr>
      <w:r w:rsidRPr="005E477E">
        <w:rPr>
          <w:b w:val="0"/>
          <w:noProof/>
          <w:color w:val="000000" w:themeColor="text1"/>
          <w:sz w:val="24"/>
          <w:szCs w:val="24"/>
        </w:rPr>
        <w:t xml:space="preserve">Barnett, C. (2015): Trends Show Crowdfunding To Surpass VC In 2016, Forbes 9 June 2015, </w:t>
      </w:r>
      <w:hyperlink r:id="rId11" w:anchor="6bbe887276da" w:history="1">
        <w:r w:rsidRPr="005E477E">
          <w:rPr>
            <w:rStyle w:val="Hyperlink"/>
            <w:b w:val="0"/>
            <w:noProof/>
            <w:sz w:val="24"/>
            <w:szCs w:val="24"/>
          </w:rPr>
          <w:t>http://www.forbes.com/sites/chancebarnett/2015/06/09/trends-show-crowdfunding-to-surpass-vc-in-2016/2/#6bbe887276da</w:t>
        </w:r>
      </w:hyperlink>
      <w:r w:rsidRPr="005E477E">
        <w:rPr>
          <w:b w:val="0"/>
          <w:noProof/>
          <w:color w:val="000000" w:themeColor="text1"/>
          <w:sz w:val="24"/>
          <w:szCs w:val="24"/>
        </w:rPr>
        <w:t xml:space="preserve"> </w:t>
      </w:r>
    </w:p>
    <w:p w14:paraId="436235FD" w14:textId="3C36E0CF" w:rsidR="00C729BE" w:rsidRPr="005E477E" w:rsidRDefault="00C729BE" w:rsidP="005E477E">
      <w:pPr>
        <w:spacing w:after="60" w:line="276" w:lineRule="auto"/>
        <w:ind w:left="709" w:hanging="709"/>
        <w:jc w:val="both"/>
        <w:rPr>
          <w:sz w:val="24"/>
          <w:szCs w:val="24"/>
        </w:rPr>
      </w:pPr>
      <w:r w:rsidRPr="005E477E">
        <w:rPr>
          <w:sz w:val="24"/>
          <w:szCs w:val="24"/>
        </w:rPr>
        <w:t xml:space="preserve">Berger, A. and G. </w:t>
      </w:r>
      <w:proofErr w:type="spellStart"/>
      <w:r w:rsidRPr="005E477E">
        <w:rPr>
          <w:sz w:val="24"/>
          <w:szCs w:val="24"/>
        </w:rPr>
        <w:t>Udell</w:t>
      </w:r>
      <w:proofErr w:type="spellEnd"/>
      <w:r w:rsidRPr="005E477E">
        <w:rPr>
          <w:sz w:val="24"/>
          <w:szCs w:val="24"/>
        </w:rPr>
        <w:t>, 1998, “The Economics of Small Business Finance: The Roles of Private Equity and Debt Markets in the Financial Growth Cycle</w:t>
      </w:r>
      <w:r w:rsidRPr="005E477E">
        <w:rPr>
          <w:i/>
          <w:sz w:val="24"/>
          <w:szCs w:val="24"/>
        </w:rPr>
        <w:t>, Journal of Banking and Finance 22</w:t>
      </w:r>
      <w:r w:rsidRPr="005E477E">
        <w:rPr>
          <w:sz w:val="24"/>
          <w:szCs w:val="24"/>
        </w:rPr>
        <w:t>, 613-673.</w:t>
      </w:r>
    </w:p>
    <w:p w14:paraId="7AE74F43" w14:textId="66842380" w:rsidR="004F781E" w:rsidRPr="005E477E" w:rsidRDefault="00C729BE" w:rsidP="005E477E">
      <w:pPr>
        <w:pStyle w:val="GEDIbooktablefigure"/>
        <w:spacing w:after="60" w:line="276" w:lineRule="auto"/>
        <w:jc w:val="both"/>
        <w:rPr>
          <w:rFonts w:ascii="Calibri" w:hAnsi="Calibri"/>
          <w:b w:val="0"/>
          <w:lang w:eastAsia="en-GB"/>
        </w:rPr>
      </w:pPr>
      <w:r w:rsidRPr="005E477E">
        <w:rPr>
          <w:rFonts w:ascii="Calibri" w:hAnsi="Calibri"/>
          <w:b w:val="0"/>
          <w:lang w:eastAsia="en-GB"/>
        </w:rPr>
        <w:t xml:space="preserve"> </w:t>
      </w:r>
      <w:proofErr w:type="spellStart"/>
      <w:r w:rsidR="004F781E" w:rsidRPr="005E477E">
        <w:rPr>
          <w:rFonts w:ascii="Calibri" w:hAnsi="Calibri"/>
          <w:b w:val="0"/>
          <w:lang w:eastAsia="en-GB"/>
        </w:rPr>
        <w:t>Baumol</w:t>
      </w:r>
      <w:proofErr w:type="spellEnd"/>
      <w:r w:rsidR="004F781E" w:rsidRPr="005E477E">
        <w:rPr>
          <w:rFonts w:ascii="Calibri" w:hAnsi="Calibri"/>
          <w:b w:val="0"/>
          <w:lang w:eastAsia="en-GB"/>
        </w:rPr>
        <w:t xml:space="preserve">, W. J. (1990). Entrepreneurship: Productive, unproductive and destructive. </w:t>
      </w:r>
      <w:r w:rsidR="004F781E" w:rsidRPr="005E477E">
        <w:rPr>
          <w:rFonts w:ascii="Calibri" w:hAnsi="Calibri"/>
          <w:b w:val="0"/>
          <w:i/>
          <w:lang w:eastAsia="en-GB"/>
        </w:rPr>
        <w:t xml:space="preserve">Journal </w:t>
      </w:r>
      <w:r w:rsidR="007D0185" w:rsidRPr="005E477E">
        <w:rPr>
          <w:rFonts w:ascii="Calibri" w:hAnsi="Calibri"/>
          <w:b w:val="0"/>
          <w:i/>
          <w:lang w:eastAsia="en-GB"/>
        </w:rPr>
        <w:tab/>
      </w:r>
      <w:r w:rsidR="004F781E" w:rsidRPr="005E477E">
        <w:rPr>
          <w:rFonts w:ascii="Calibri" w:hAnsi="Calibri"/>
          <w:b w:val="0"/>
          <w:i/>
          <w:lang w:eastAsia="en-GB"/>
        </w:rPr>
        <w:t>of Political Economy.</w:t>
      </w:r>
      <w:r w:rsidR="004F781E" w:rsidRPr="005E477E">
        <w:rPr>
          <w:rFonts w:ascii="Calibri" w:hAnsi="Calibri"/>
          <w:b w:val="0"/>
          <w:lang w:eastAsia="en-GB"/>
        </w:rPr>
        <w:t xml:space="preserve"> 98(5), 893-921.</w:t>
      </w:r>
    </w:p>
    <w:p w14:paraId="4A1C97C8" w14:textId="45F79E23" w:rsidR="007D0185" w:rsidRPr="005E477E" w:rsidRDefault="007D0185" w:rsidP="005E477E">
      <w:pPr>
        <w:pStyle w:val="NoSpacing"/>
        <w:spacing w:after="60" w:line="276" w:lineRule="auto"/>
        <w:jc w:val="both"/>
        <w:rPr>
          <w:sz w:val="24"/>
          <w:szCs w:val="24"/>
          <w:lang w:val="en-US"/>
        </w:rPr>
      </w:pPr>
      <w:proofErr w:type="spellStart"/>
      <w:r w:rsidRPr="005E477E">
        <w:rPr>
          <w:sz w:val="24"/>
          <w:szCs w:val="24"/>
          <w:lang w:val="en-US"/>
        </w:rPr>
        <w:t>Blanchflower</w:t>
      </w:r>
      <w:proofErr w:type="spellEnd"/>
      <w:r w:rsidRPr="005E477E">
        <w:rPr>
          <w:sz w:val="24"/>
          <w:szCs w:val="24"/>
          <w:lang w:val="en-US"/>
        </w:rPr>
        <w:t xml:space="preserve">, D.G., Meyer, B., 1994. A longitudinal analysis of young entrepreneurs in </w:t>
      </w:r>
      <w:r w:rsidRPr="005E477E">
        <w:rPr>
          <w:sz w:val="24"/>
          <w:szCs w:val="24"/>
          <w:lang w:val="en-US"/>
        </w:rPr>
        <w:tab/>
        <w:t>Australia and the United States. Small Business Economics 6, 1–20.</w:t>
      </w:r>
    </w:p>
    <w:p w14:paraId="4DC0CC0F" w14:textId="77777777" w:rsidR="001A3D91" w:rsidRPr="005E477E" w:rsidRDefault="001A3D91" w:rsidP="005E477E">
      <w:pPr>
        <w:spacing w:after="60" w:line="276" w:lineRule="auto"/>
        <w:jc w:val="both"/>
        <w:rPr>
          <w:rFonts w:eastAsia="Times New Roman"/>
          <w:sz w:val="24"/>
          <w:szCs w:val="24"/>
          <w:lang w:eastAsia="hu-HU"/>
        </w:rPr>
      </w:pPr>
      <w:r w:rsidRPr="005E477E">
        <w:rPr>
          <w:rFonts w:eastAsia="Times New Roman"/>
          <w:sz w:val="24"/>
          <w:szCs w:val="24"/>
          <w:lang w:eastAsia="hu-HU"/>
        </w:rPr>
        <w:t xml:space="preserve">Braithwaite, V. A. (2009). </w:t>
      </w:r>
      <w:r w:rsidRPr="005E477E">
        <w:rPr>
          <w:rFonts w:eastAsia="Times New Roman"/>
          <w:i/>
          <w:iCs/>
          <w:sz w:val="24"/>
          <w:szCs w:val="24"/>
          <w:lang w:eastAsia="hu-HU"/>
        </w:rPr>
        <w:t xml:space="preserve">Defiance in taxation and governance: Resisting and dismissing </w:t>
      </w:r>
      <w:r w:rsidRPr="005E477E">
        <w:rPr>
          <w:rFonts w:eastAsia="Times New Roman"/>
          <w:i/>
          <w:iCs/>
          <w:sz w:val="24"/>
          <w:szCs w:val="24"/>
          <w:lang w:eastAsia="hu-HU"/>
        </w:rPr>
        <w:tab/>
        <w:t>authority in a democracy</w:t>
      </w:r>
      <w:r w:rsidRPr="005E477E">
        <w:rPr>
          <w:rFonts w:eastAsia="Times New Roman"/>
          <w:sz w:val="24"/>
          <w:szCs w:val="24"/>
          <w:lang w:eastAsia="hu-HU"/>
        </w:rPr>
        <w:t>. Edward Elgar Publishing.</w:t>
      </w:r>
    </w:p>
    <w:p w14:paraId="6FC67A9C" w14:textId="2C5AB8B8" w:rsidR="001A3D91" w:rsidRPr="005E477E" w:rsidRDefault="001A3D91" w:rsidP="005E477E">
      <w:pPr>
        <w:spacing w:after="60" w:line="276" w:lineRule="auto"/>
        <w:jc w:val="both"/>
        <w:rPr>
          <w:rFonts w:eastAsia="Times New Roman"/>
          <w:sz w:val="24"/>
          <w:szCs w:val="24"/>
          <w:lang w:val="en-US" w:eastAsia="hu-HU"/>
        </w:rPr>
      </w:pPr>
      <w:r w:rsidRPr="005E477E">
        <w:rPr>
          <w:rFonts w:eastAsia="Times New Roman"/>
          <w:sz w:val="24"/>
          <w:szCs w:val="24"/>
          <w:lang w:val="en-US" w:eastAsia="hu-HU"/>
        </w:rPr>
        <w:t xml:space="preserve">Bruce, D., </w:t>
      </w:r>
      <w:proofErr w:type="spellStart"/>
      <w:r w:rsidRPr="005E477E">
        <w:rPr>
          <w:rFonts w:eastAsia="Times New Roman"/>
          <w:sz w:val="24"/>
          <w:szCs w:val="24"/>
          <w:lang w:val="en-US" w:eastAsia="hu-HU"/>
        </w:rPr>
        <w:t>Mohsin</w:t>
      </w:r>
      <w:proofErr w:type="spellEnd"/>
      <w:r w:rsidRPr="005E477E">
        <w:rPr>
          <w:rFonts w:eastAsia="Times New Roman"/>
          <w:sz w:val="24"/>
          <w:szCs w:val="24"/>
          <w:lang w:val="en-US" w:eastAsia="hu-HU"/>
        </w:rPr>
        <w:t xml:space="preserve">, M. (2006). Tax policy and entrepreneurship: New time series evidence. </w:t>
      </w:r>
      <w:r w:rsidRPr="005E477E">
        <w:rPr>
          <w:rFonts w:eastAsia="Times New Roman"/>
          <w:sz w:val="24"/>
          <w:szCs w:val="24"/>
          <w:lang w:val="en-US" w:eastAsia="hu-HU"/>
        </w:rPr>
        <w:tab/>
      </w:r>
      <w:r w:rsidRPr="005E477E">
        <w:rPr>
          <w:rFonts w:eastAsia="Times New Roman"/>
          <w:i/>
          <w:iCs/>
          <w:sz w:val="24"/>
          <w:szCs w:val="24"/>
          <w:lang w:val="en-US" w:eastAsia="hu-HU"/>
        </w:rPr>
        <w:t>Small Business Economics</w:t>
      </w:r>
      <w:r w:rsidRPr="005E477E">
        <w:rPr>
          <w:rFonts w:eastAsia="Times New Roman"/>
          <w:sz w:val="24"/>
          <w:szCs w:val="24"/>
          <w:lang w:val="en-US" w:eastAsia="hu-HU"/>
        </w:rPr>
        <w:t xml:space="preserve">, </w:t>
      </w:r>
      <w:r w:rsidRPr="005E477E">
        <w:rPr>
          <w:rFonts w:eastAsia="Times New Roman"/>
          <w:i/>
          <w:iCs/>
          <w:sz w:val="24"/>
          <w:szCs w:val="24"/>
          <w:lang w:val="en-US" w:eastAsia="hu-HU"/>
        </w:rPr>
        <w:t>26</w:t>
      </w:r>
      <w:r w:rsidRPr="005E477E">
        <w:rPr>
          <w:rFonts w:eastAsia="Times New Roman"/>
          <w:sz w:val="24"/>
          <w:szCs w:val="24"/>
          <w:lang w:val="en-US" w:eastAsia="hu-HU"/>
        </w:rPr>
        <w:t>(5), 409-425.</w:t>
      </w:r>
    </w:p>
    <w:p w14:paraId="03C37BD9" w14:textId="7D72DC84" w:rsidR="001A3D91" w:rsidRPr="005E477E" w:rsidRDefault="00A11879" w:rsidP="005E477E">
      <w:pPr>
        <w:spacing w:after="60" w:line="276" w:lineRule="auto"/>
        <w:ind w:left="720" w:hanging="720"/>
        <w:jc w:val="both"/>
        <w:rPr>
          <w:rFonts w:cstheme="minorHAnsi"/>
          <w:sz w:val="24"/>
          <w:szCs w:val="24"/>
        </w:rPr>
      </w:pPr>
      <w:proofErr w:type="spellStart"/>
      <w:r w:rsidRPr="005E477E">
        <w:rPr>
          <w:rFonts w:cstheme="minorHAnsi"/>
          <w:sz w:val="24"/>
          <w:szCs w:val="24"/>
        </w:rPr>
        <w:t>Carreira</w:t>
      </w:r>
      <w:proofErr w:type="spellEnd"/>
      <w:r w:rsidRPr="005E477E">
        <w:rPr>
          <w:rFonts w:cstheme="minorHAnsi"/>
          <w:sz w:val="24"/>
          <w:szCs w:val="24"/>
        </w:rPr>
        <w:t xml:space="preserve">, C. </w:t>
      </w:r>
      <w:proofErr w:type="spellStart"/>
      <w:r w:rsidRPr="005E477E">
        <w:rPr>
          <w:rFonts w:cstheme="minorHAnsi"/>
          <w:sz w:val="24"/>
          <w:szCs w:val="24"/>
        </w:rPr>
        <w:t>Teixeira</w:t>
      </w:r>
      <w:proofErr w:type="spellEnd"/>
      <w:r w:rsidRPr="005E477E">
        <w:rPr>
          <w:rFonts w:cstheme="minorHAnsi"/>
          <w:sz w:val="24"/>
          <w:szCs w:val="24"/>
        </w:rPr>
        <w:t xml:space="preserve"> (2015). Entry and exit in severe recessions: Lessons from the 2008–2013</w:t>
      </w:r>
      <w:r w:rsidR="001A3D91" w:rsidRPr="005E477E">
        <w:rPr>
          <w:rFonts w:cstheme="minorHAnsi"/>
          <w:sz w:val="24"/>
          <w:szCs w:val="24"/>
        </w:rPr>
        <w:t xml:space="preserve"> Portuguese economic crisis, Small Business Economics (in this Issue).</w:t>
      </w:r>
    </w:p>
    <w:p w14:paraId="02F4D30F" w14:textId="42941D15" w:rsidR="00A11879" w:rsidRPr="005E477E" w:rsidRDefault="00A11879" w:rsidP="005E477E">
      <w:pPr>
        <w:spacing w:after="60" w:line="276" w:lineRule="auto"/>
        <w:jc w:val="both"/>
        <w:rPr>
          <w:rFonts w:eastAsia="Times New Roman"/>
          <w:sz w:val="24"/>
          <w:szCs w:val="24"/>
          <w:lang w:eastAsia="hu-HU"/>
        </w:rPr>
      </w:pPr>
      <w:r w:rsidRPr="005E477E">
        <w:rPr>
          <w:rFonts w:cstheme="minorHAnsi"/>
          <w:sz w:val="24"/>
          <w:szCs w:val="24"/>
        </w:rPr>
        <w:lastRenderedPageBreak/>
        <w:t xml:space="preserve"> </w:t>
      </w:r>
      <w:r w:rsidRPr="005E477E">
        <w:rPr>
          <w:noProof/>
          <w:sz w:val="24"/>
          <w:szCs w:val="24"/>
        </w:rPr>
        <w:t xml:space="preserve">Baumol, W., Litan, R., &amp; Shramm, C. 2009. </w:t>
      </w:r>
      <w:r w:rsidRPr="005E477E">
        <w:rPr>
          <w:i/>
          <w:noProof/>
          <w:sz w:val="24"/>
          <w:szCs w:val="24"/>
        </w:rPr>
        <w:t>Good Capitalism Bad Capitalism</w:t>
      </w:r>
      <w:r w:rsidRPr="005E477E">
        <w:rPr>
          <w:noProof/>
          <w:sz w:val="24"/>
          <w:szCs w:val="24"/>
        </w:rPr>
        <w:t xml:space="preserve">. New Haven, Yale </w:t>
      </w:r>
      <w:r w:rsidR="001A3D91" w:rsidRPr="005E477E">
        <w:rPr>
          <w:noProof/>
          <w:sz w:val="24"/>
          <w:szCs w:val="24"/>
        </w:rPr>
        <w:tab/>
      </w:r>
      <w:r w:rsidRPr="005E477E">
        <w:rPr>
          <w:noProof/>
          <w:sz w:val="24"/>
          <w:szCs w:val="24"/>
        </w:rPr>
        <w:t>University Press.</w:t>
      </w:r>
    </w:p>
    <w:p w14:paraId="25D5D2EC" w14:textId="6FE6FBAF" w:rsidR="00A11879" w:rsidRPr="005E477E" w:rsidRDefault="00A11879" w:rsidP="005E477E">
      <w:pPr>
        <w:spacing w:after="60" w:line="276" w:lineRule="auto"/>
        <w:ind w:left="720" w:hanging="720"/>
        <w:jc w:val="both"/>
        <w:rPr>
          <w:rFonts w:cstheme="minorHAnsi"/>
          <w:sz w:val="24"/>
          <w:szCs w:val="24"/>
        </w:rPr>
      </w:pPr>
      <w:proofErr w:type="spellStart"/>
      <w:r w:rsidRPr="005E477E">
        <w:rPr>
          <w:rFonts w:cstheme="minorHAnsi"/>
          <w:sz w:val="24"/>
          <w:szCs w:val="24"/>
        </w:rPr>
        <w:t>Carlsson</w:t>
      </w:r>
      <w:proofErr w:type="spellEnd"/>
      <w:r w:rsidRPr="005E477E">
        <w:rPr>
          <w:rFonts w:cstheme="minorHAnsi"/>
          <w:sz w:val="24"/>
          <w:szCs w:val="24"/>
        </w:rPr>
        <w:t xml:space="preserve"> B. Acs, Z. J., </w:t>
      </w:r>
      <w:proofErr w:type="spellStart"/>
      <w:r w:rsidRPr="005E477E">
        <w:rPr>
          <w:rFonts w:cstheme="minorHAnsi"/>
          <w:sz w:val="24"/>
          <w:szCs w:val="24"/>
        </w:rPr>
        <w:t>Braunerhjelm</w:t>
      </w:r>
      <w:proofErr w:type="spellEnd"/>
      <w:r w:rsidR="001A3D91" w:rsidRPr="005E477E">
        <w:rPr>
          <w:rFonts w:cstheme="minorHAnsi"/>
          <w:sz w:val="24"/>
          <w:szCs w:val="24"/>
        </w:rPr>
        <w:t>, P</w:t>
      </w:r>
      <w:r w:rsidRPr="005E477E">
        <w:rPr>
          <w:rFonts w:cstheme="minorHAnsi"/>
          <w:sz w:val="24"/>
          <w:szCs w:val="24"/>
        </w:rPr>
        <w:t>.,</w:t>
      </w:r>
      <w:r w:rsidR="001A3D91" w:rsidRPr="005E477E">
        <w:rPr>
          <w:rFonts w:cstheme="minorHAnsi"/>
          <w:sz w:val="24"/>
          <w:szCs w:val="24"/>
        </w:rPr>
        <w:t xml:space="preserve"> </w:t>
      </w:r>
      <w:r w:rsidRPr="005E477E">
        <w:rPr>
          <w:rFonts w:cstheme="minorHAnsi"/>
          <w:sz w:val="24"/>
          <w:szCs w:val="24"/>
        </w:rPr>
        <w:t xml:space="preserve"> </w:t>
      </w:r>
      <w:proofErr w:type="spellStart"/>
      <w:r w:rsidRPr="005E477E">
        <w:rPr>
          <w:rFonts w:cstheme="minorHAnsi"/>
          <w:sz w:val="24"/>
          <w:szCs w:val="24"/>
        </w:rPr>
        <w:t>Audretsch</w:t>
      </w:r>
      <w:proofErr w:type="spellEnd"/>
      <w:r w:rsidRPr="005E477E">
        <w:rPr>
          <w:rFonts w:cstheme="minorHAnsi"/>
          <w:sz w:val="24"/>
          <w:szCs w:val="24"/>
        </w:rPr>
        <w:t xml:space="preserve"> D. B., &amp; (2009). Knowledge Creation, Entrepreneurship and Economic Growth:  A Historical Review.  Industry and Corporate Change.  18, 1193,-1229.</w:t>
      </w:r>
    </w:p>
    <w:p w14:paraId="246F69F0" w14:textId="613FF474" w:rsidR="001A3D91" w:rsidRPr="005E477E" w:rsidRDefault="001A3D91" w:rsidP="005E477E">
      <w:pPr>
        <w:spacing w:after="60" w:line="276" w:lineRule="auto"/>
        <w:jc w:val="both"/>
        <w:rPr>
          <w:rFonts w:eastAsia="Times New Roman"/>
          <w:sz w:val="24"/>
          <w:szCs w:val="24"/>
          <w:lang w:eastAsia="hu-HU"/>
        </w:rPr>
      </w:pPr>
      <w:proofErr w:type="spellStart"/>
      <w:r w:rsidRPr="005E477E">
        <w:rPr>
          <w:rFonts w:eastAsia="Times New Roman"/>
          <w:sz w:val="24"/>
          <w:szCs w:val="24"/>
          <w:lang w:eastAsia="hu-HU"/>
        </w:rPr>
        <w:t>Cassar</w:t>
      </w:r>
      <w:proofErr w:type="spellEnd"/>
      <w:r w:rsidRPr="005E477E">
        <w:rPr>
          <w:rFonts w:eastAsia="Times New Roman"/>
          <w:sz w:val="24"/>
          <w:szCs w:val="24"/>
          <w:lang w:eastAsia="hu-HU"/>
        </w:rPr>
        <w:t xml:space="preserve">, G. (2004). The financing of business start-ups. </w:t>
      </w:r>
      <w:r w:rsidRPr="005E477E">
        <w:rPr>
          <w:rFonts w:eastAsia="Times New Roman"/>
          <w:i/>
          <w:iCs/>
          <w:sz w:val="24"/>
          <w:szCs w:val="24"/>
          <w:lang w:eastAsia="hu-HU"/>
        </w:rPr>
        <w:t>Journal of business venturing</w:t>
      </w:r>
      <w:r w:rsidRPr="005E477E">
        <w:rPr>
          <w:rFonts w:eastAsia="Times New Roman"/>
          <w:sz w:val="24"/>
          <w:szCs w:val="24"/>
          <w:lang w:eastAsia="hu-HU"/>
        </w:rPr>
        <w:t xml:space="preserve">, </w:t>
      </w:r>
      <w:r w:rsidRPr="005E477E">
        <w:rPr>
          <w:rFonts w:eastAsia="Times New Roman"/>
          <w:i/>
          <w:iCs/>
          <w:sz w:val="24"/>
          <w:szCs w:val="24"/>
          <w:lang w:eastAsia="hu-HU"/>
        </w:rPr>
        <w:t>19</w:t>
      </w:r>
      <w:r w:rsidRPr="005E477E">
        <w:rPr>
          <w:rFonts w:eastAsia="Times New Roman"/>
          <w:sz w:val="24"/>
          <w:szCs w:val="24"/>
          <w:lang w:eastAsia="hu-HU"/>
        </w:rPr>
        <w:t xml:space="preserve">(2), </w:t>
      </w:r>
      <w:r w:rsidRPr="005E477E">
        <w:rPr>
          <w:rFonts w:eastAsia="Times New Roman"/>
          <w:sz w:val="24"/>
          <w:szCs w:val="24"/>
          <w:lang w:eastAsia="hu-HU"/>
        </w:rPr>
        <w:tab/>
        <w:t>261-283.</w:t>
      </w:r>
    </w:p>
    <w:p w14:paraId="6B47ABC7" w14:textId="77777777" w:rsidR="00A278B5" w:rsidRPr="005E477E" w:rsidRDefault="00A278B5" w:rsidP="005E477E">
      <w:pPr>
        <w:spacing w:after="60" w:line="276" w:lineRule="auto"/>
        <w:ind w:left="709" w:hanging="709"/>
        <w:jc w:val="both"/>
        <w:rPr>
          <w:rFonts w:eastAsia="Times New Roman"/>
          <w:sz w:val="24"/>
          <w:szCs w:val="24"/>
          <w:lang w:val="hu-HU" w:eastAsia="hu-HU"/>
        </w:rPr>
      </w:pPr>
      <w:r w:rsidRPr="005E477E">
        <w:rPr>
          <w:rFonts w:eastAsia="Times New Roman"/>
          <w:sz w:val="24"/>
          <w:szCs w:val="24"/>
          <w:lang w:val="hu-HU" w:eastAsia="hu-HU"/>
        </w:rPr>
        <w:t xml:space="preserve">Chemmanur, T. J., &amp; Fulghieri, P. (2014). Entrepreneurial finance and innovation: An introduction and agenda for future research. </w:t>
      </w:r>
      <w:r w:rsidRPr="005E477E">
        <w:rPr>
          <w:rFonts w:eastAsia="Times New Roman"/>
          <w:i/>
          <w:iCs/>
          <w:sz w:val="24"/>
          <w:szCs w:val="24"/>
          <w:lang w:val="hu-HU" w:eastAsia="hu-HU"/>
        </w:rPr>
        <w:t>Review of Financial Studies</w:t>
      </w:r>
      <w:r w:rsidRPr="005E477E">
        <w:rPr>
          <w:rFonts w:eastAsia="Times New Roman"/>
          <w:sz w:val="24"/>
          <w:szCs w:val="24"/>
          <w:lang w:val="hu-HU" w:eastAsia="hu-HU"/>
        </w:rPr>
        <w:t xml:space="preserve">, </w:t>
      </w:r>
      <w:r w:rsidRPr="005E477E">
        <w:rPr>
          <w:rFonts w:eastAsia="Times New Roman"/>
          <w:i/>
          <w:iCs/>
          <w:sz w:val="24"/>
          <w:szCs w:val="24"/>
          <w:lang w:val="hu-HU" w:eastAsia="hu-HU"/>
        </w:rPr>
        <w:t>27</w:t>
      </w:r>
      <w:r w:rsidRPr="005E477E">
        <w:rPr>
          <w:rFonts w:eastAsia="Times New Roman"/>
          <w:sz w:val="24"/>
          <w:szCs w:val="24"/>
          <w:lang w:val="hu-HU" w:eastAsia="hu-HU"/>
        </w:rPr>
        <w:t>(1), 1-19.</w:t>
      </w:r>
    </w:p>
    <w:p w14:paraId="6CBFF9A6" w14:textId="6D7C88A0" w:rsidR="00AE20D4" w:rsidRPr="005E477E" w:rsidRDefault="00AE20D4" w:rsidP="005E477E">
      <w:pPr>
        <w:spacing w:after="60" w:line="276" w:lineRule="auto"/>
        <w:ind w:left="709" w:hanging="709"/>
        <w:jc w:val="both"/>
        <w:rPr>
          <w:sz w:val="24"/>
          <w:szCs w:val="24"/>
        </w:rPr>
      </w:pPr>
      <w:r w:rsidRPr="005E477E">
        <w:rPr>
          <w:sz w:val="24"/>
          <w:szCs w:val="24"/>
        </w:rPr>
        <w:t xml:space="preserve">Chen, H., Miao, J., Wang, N. (2010). Entrepreneurial finance and </w:t>
      </w:r>
      <w:proofErr w:type="spellStart"/>
      <w:r w:rsidRPr="005E477E">
        <w:rPr>
          <w:sz w:val="24"/>
          <w:szCs w:val="24"/>
        </w:rPr>
        <w:t>nondiversifiable</w:t>
      </w:r>
      <w:proofErr w:type="spellEnd"/>
      <w:r w:rsidRPr="005E477E">
        <w:rPr>
          <w:sz w:val="24"/>
          <w:szCs w:val="24"/>
        </w:rPr>
        <w:t xml:space="preserve"> risk. </w:t>
      </w:r>
      <w:r w:rsidRPr="005E477E">
        <w:rPr>
          <w:i/>
          <w:iCs/>
          <w:sz w:val="24"/>
          <w:szCs w:val="24"/>
        </w:rPr>
        <w:t>Review of Financial Studies</w:t>
      </w:r>
      <w:r w:rsidRPr="005E477E">
        <w:rPr>
          <w:sz w:val="24"/>
          <w:szCs w:val="24"/>
        </w:rPr>
        <w:t>, forthcoming</w:t>
      </w:r>
    </w:p>
    <w:p w14:paraId="5F07F2BF" w14:textId="07704F04" w:rsidR="00A11879" w:rsidRPr="005E477E" w:rsidRDefault="00A11879" w:rsidP="005E477E">
      <w:pPr>
        <w:spacing w:after="60" w:line="276" w:lineRule="auto"/>
        <w:ind w:left="720" w:hanging="720"/>
        <w:jc w:val="both"/>
        <w:rPr>
          <w:rFonts w:cstheme="minorHAnsi"/>
          <w:sz w:val="24"/>
          <w:szCs w:val="24"/>
        </w:rPr>
      </w:pPr>
      <w:r w:rsidRPr="005E477E">
        <w:rPr>
          <w:rFonts w:cstheme="minorHAnsi"/>
          <w:sz w:val="24"/>
          <w:szCs w:val="24"/>
        </w:rPr>
        <w:t>Cowling, M. (2015). You can lead a firm to R&amp;D but can you make it innovate? UK Evidence from SMEs, Small Business Economics (in this Issue).</w:t>
      </w:r>
    </w:p>
    <w:p w14:paraId="7A940C97" w14:textId="7950860C" w:rsidR="008F2315" w:rsidRPr="005E477E" w:rsidRDefault="008F2315" w:rsidP="005E477E">
      <w:pPr>
        <w:spacing w:after="60" w:line="276" w:lineRule="auto"/>
        <w:ind w:left="709" w:hanging="709"/>
        <w:jc w:val="both"/>
        <w:rPr>
          <w:rFonts w:eastAsia="Times New Roman"/>
          <w:sz w:val="24"/>
          <w:szCs w:val="24"/>
          <w:lang w:val="hu-HU" w:eastAsia="hu-HU"/>
        </w:rPr>
      </w:pPr>
      <w:r w:rsidRPr="005E477E">
        <w:rPr>
          <w:rFonts w:eastAsia="Times New Roman"/>
          <w:sz w:val="24"/>
          <w:szCs w:val="24"/>
          <w:lang w:val="hu-HU" w:eastAsia="hu-HU"/>
        </w:rPr>
        <w:t xml:space="preserve">Croce, A., Martí, J., Murtinu, S. (2013). The impact of venture capital on the productivity growth of European entrepreneurial firms:‘Screening’or ‘value added’effect?. </w:t>
      </w:r>
      <w:r w:rsidRPr="005E477E">
        <w:rPr>
          <w:rFonts w:eastAsia="Times New Roman"/>
          <w:i/>
          <w:iCs/>
          <w:sz w:val="24"/>
          <w:szCs w:val="24"/>
          <w:lang w:val="hu-HU" w:eastAsia="hu-HU"/>
        </w:rPr>
        <w:t>Journal of Business Venturing</w:t>
      </w:r>
      <w:r w:rsidRPr="005E477E">
        <w:rPr>
          <w:rFonts w:eastAsia="Times New Roman"/>
          <w:sz w:val="24"/>
          <w:szCs w:val="24"/>
          <w:lang w:val="hu-HU" w:eastAsia="hu-HU"/>
        </w:rPr>
        <w:t xml:space="preserve">, </w:t>
      </w:r>
      <w:r w:rsidRPr="005E477E">
        <w:rPr>
          <w:rFonts w:eastAsia="Times New Roman"/>
          <w:i/>
          <w:iCs/>
          <w:sz w:val="24"/>
          <w:szCs w:val="24"/>
          <w:lang w:val="hu-HU" w:eastAsia="hu-HU"/>
        </w:rPr>
        <w:t>28</w:t>
      </w:r>
      <w:r w:rsidRPr="005E477E">
        <w:rPr>
          <w:rFonts w:eastAsia="Times New Roman"/>
          <w:sz w:val="24"/>
          <w:szCs w:val="24"/>
          <w:lang w:val="hu-HU" w:eastAsia="hu-HU"/>
        </w:rPr>
        <w:t>(4), 489-510.</w:t>
      </w:r>
    </w:p>
    <w:p w14:paraId="055760FE" w14:textId="5766012C" w:rsidR="007D0185" w:rsidRPr="005E477E" w:rsidRDefault="007D0185" w:rsidP="005E477E">
      <w:pPr>
        <w:pStyle w:val="NoSpacing"/>
        <w:spacing w:after="60" w:line="276" w:lineRule="auto"/>
        <w:jc w:val="both"/>
        <w:rPr>
          <w:sz w:val="24"/>
          <w:szCs w:val="24"/>
          <w:lang w:val="en-US"/>
        </w:rPr>
      </w:pPr>
      <w:r w:rsidRPr="005E477E">
        <w:rPr>
          <w:sz w:val="24"/>
          <w:szCs w:val="24"/>
          <w:lang w:val="en-US"/>
        </w:rPr>
        <w:t xml:space="preserve">Dawson, C., Henley, A., </w:t>
      </w:r>
      <w:proofErr w:type="spellStart"/>
      <w:r w:rsidRPr="005E477E">
        <w:rPr>
          <w:sz w:val="24"/>
          <w:szCs w:val="24"/>
          <w:lang w:val="en-US"/>
        </w:rPr>
        <w:t>Latreille</w:t>
      </w:r>
      <w:proofErr w:type="spellEnd"/>
      <w:r w:rsidRPr="005E477E">
        <w:rPr>
          <w:sz w:val="24"/>
          <w:szCs w:val="24"/>
          <w:lang w:val="en-US"/>
        </w:rPr>
        <w:t xml:space="preserve">, P., 2009. Why do individuals choose self-employment? </w:t>
      </w:r>
      <w:r w:rsidRPr="005E477E">
        <w:rPr>
          <w:sz w:val="24"/>
          <w:szCs w:val="24"/>
          <w:lang w:val="en-US"/>
        </w:rPr>
        <w:tab/>
        <w:t>IZA Discussion Paper No. 3974.</w:t>
      </w:r>
    </w:p>
    <w:p w14:paraId="0D98DBE8" w14:textId="66CCA6D7" w:rsidR="001A3D91" w:rsidRPr="005E477E" w:rsidRDefault="001A3D91" w:rsidP="005E477E">
      <w:pPr>
        <w:spacing w:after="60" w:line="276" w:lineRule="auto"/>
        <w:jc w:val="both"/>
        <w:rPr>
          <w:rFonts w:eastAsia="Times New Roman"/>
          <w:sz w:val="24"/>
          <w:szCs w:val="24"/>
          <w:lang w:eastAsia="hu-HU"/>
        </w:rPr>
      </w:pPr>
      <w:proofErr w:type="spellStart"/>
      <w:r w:rsidRPr="005E477E">
        <w:rPr>
          <w:rFonts w:eastAsia="Times New Roman"/>
          <w:sz w:val="24"/>
          <w:szCs w:val="24"/>
          <w:lang w:eastAsia="hu-HU"/>
        </w:rPr>
        <w:t>Davidsson</w:t>
      </w:r>
      <w:proofErr w:type="spellEnd"/>
      <w:r w:rsidRPr="005E477E">
        <w:rPr>
          <w:rFonts w:eastAsia="Times New Roman"/>
          <w:sz w:val="24"/>
          <w:szCs w:val="24"/>
          <w:lang w:eastAsia="hu-HU"/>
        </w:rPr>
        <w:t>, P., Henrekson, M. (2002). Determinants of the prevalence of start-ups and high-</w:t>
      </w:r>
      <w:r w:rsidRPr="005E477E">
        <w:rPr>
          <w:rFonts w:eastAsia="Times New Roman"/>
          <w:sz w:val="24"/>
          <w:szCs w:val="24"/>
          <w:lang w:eastAsia="hu-HU"/>
        </w:rPr>
        <w:tab/>
        <w:t xml:space="preserve">growth firms. </w:t>
      </w:r>
      <w:r w:rsidRPr="005E477E">
        <w:rPr>
          <w:rFonts w:eastAsia="Times New Roman"/>
          <w:i/>
          <w:iCs/>
          <w:sz w:val="24"/>
          <w:szCs w:val="24"/>
          <w:lang w:eastAsia="hu-HU"/>
        </w:rPr>
        <w:t>Small Business Economics</w:t>
      </w:r>
      <w:r w:rsidRPr="005E477E">
        <w:rPr>
          <w:rFonts w:eastAsia="Times New Roman"/>
          <w:sz w:val="24"/>
          <w:szCs w:val="24"/>
          <w:lang w:eastAsia="hu-HU"/>
        </w:rPr>
        <w:t xml:space="preserve">, </w:t>
      </w:r>
      <w:r w:rsidRPr="005E477E">
        <w:rPr>
          <w:rFonts w:eastAsia="Times New Roman"/>
          <w:i/>
          <w:iCs/>
          <w:sz w:val="24"/>
          <w:szCs w:val="24"/>
          <w:lang w:eastAsia="hu-HU"/>
        </w:rPr>
        <w:t>19</w:t>
      </w:r>
      <w:r w:rsidRPr="005E477E">
        <w:rPr>
          <w:rFonts w:eastAsia="Times New Roman"/>
          <w:sz w:val="24"/>
          <w:szCs w:val="24"/>
          <w:lang w:eastAsia="hu-HU"/>
        </w:rPr>
        <w:t>(2), 81-104.</w:t>
      </w:r>
    </w:p>
    <w:p w14:paraId="10D65E41" w14:textId="577FBCF7" w:rsidR="001A3D91" w:rsidRPr="005E477E" w:rsidRDefault="001A3D91" w:rsidP="005E477E">
      <w:pPr>
        <w:spacing w:after="60" w:line="276" w:lineRule="auto"/>
        <w:jc w:val="both"/>
        <w:rPr>
          <w:rFonts w:eastAsia="Times New Roman"/>
          <w:sz w:val="24"/>
          <w:szCs w:val="24"/>
          <w:lang w:eastAsia="hu-HU"/>
        </w:rPr>
      </w:pPr>
      <w:r w:rsidRPr="005E477E">
        <w:rPr>
          <w:rFonts w:eastAsia="Times New Roman"/>
          <w:sz w:val="24"/>
          <w:szCs w:val="24"/>
          <w:lang w:eastAsia="hu-HU"/>
        </w:rPr>
        <w:t xml:space="preserve">Davis, S. J., Henrekson, M. (2004) </w:t>
      </w:r>
      <w:r w:rsidRPr="005E477E">
        <w:rPr>
          <w:rFonts w:eastAsia="Times New Roman"/>
          <w:i/>
          <w:iCs/>
          <w:sz w:val="24"/>
          <w:szCs w:val="24"/>
          <w:lang w:eastAsia="hu-HU"/>
        </w:rPr>
        <w:t xml:space="preserve">Tax effects on work activity, industry mix and shadow </w:t>
      </w:r>
      <w:r w:rsidRPr="005E477E">
        <w:rPr>
          <w:rFonts w:eastAsia="Times New Roman"/>
          <w:i/>
          <w:iCs/>
          <w:sz w:val="24"/>
          <w:szCs w:val="24"/>
          <w:lang w:eastAsia="hu-HU"/>
        </w:rPr>
        <w:tab/>
        <w:t>economy size: Evidence from rich-country comparisons</w:t>
      </w:r>
      <w:r w:rsidRPr="005E477E">
        <w:rPr>
          <w:rFonts w:eastAsia="Times New Roman"/>
          <w:sz w:val="24"/>
          <w:szCs w:val="24"/>
          <w:lang w:eastAsia="hu-HU"/>
        </w:rPr>
        <w:t xml:space="preserve"> (No. w10509). National </w:t>
      </w:r>
      <w:r w:rsidRPr="005E477E">
        <w:rPr>
          <w:rFonts w:eastAsia="Times New Roman"/>
          <w:sz w:val="24"/>
          <w:szCs w:val="24"/>
          <w:lang w:eastAsia="hu-HU"/>
        </w:rPr>
        <w:tab/>
        <w:t>Bureau of Economic Research.</w:t>
      </w:r>
    </w:p>
    <w:p w14:paraId="3E1857CE" w14:textId="06D30FFE" w:rsidR="00B63FA4" w:rsidRPr="005E477E" w:rsidRDefault="00B63FA4" w:rsidP="005E477E">
      <w:pPr>
        <w:spacing w:after="60" w:line="276" w:lineRule="auto"/>
        <w:ind w:left="709" w:hanging="709"/>
        <w:jc w:val="both"/>
        <w:rPr>
          <w:rFonts w:eastAsia="Times New Roman"/>
          <w:sz w:val="24"/>
          <w:szCs w:val="24"/>
          <w:lang w:val="hu-HU" w:eastAsia="hu-HU"/>
        </w:rPr>
      </w:pPr>
      <w:r w:rsidRPr="005E477E">
        <w:rPr>
          <w:rFonts w:eastAsia="Times New Roman"/>
          <w:sz w:val="24"/>
          <w:szCs w:val="24"/>
          <w:lang w:val="hu-HU" w:eastAsia="hu-HU"/>
        </w:rPr>
        <w:t xml:space="preserve">Davila, A., Foster, G., Gupta, M. (2003). Venture capital financing and the growth of startup firms. </w:t>
      </w:r>
      <w:r w:rsidRPr="005E477E">
        <w:rPr>
          <w:rFonts w:eastAsia="Times New Roman"/>
          <w:i/>
          <w:iCs/>
          <w:sz w:val="24"/>
          <w:szCs w:val="24"/>
          <w:lang w:val="hu-HU" w:eastAsia="hu-HU"/>
        </w:rPr>
        <w:t>Journal of business venturing</w:t>
      </w:r>
      <w:r w:rsidRPr="005E477E">
        <w:rPr>
          <w:rFonts w:eastAsia="Times New Roman"/>
          <w:sz w:val="24"/>
          <w:szCs w:val="24"/>
          <w:lang w:val="hu-HU" w:eastAsia="hu-HU"/>
        </w:rPr>
        <w:t xml:space="preserve">, </w:t>
      </w:r>
      <w:r w:rsidRPr="005E477E">
        <w:rPr>
          <w:rFonts w:eastAsia="Times New Roman"/>
          <w:i/>
          <w:iCs/>
          <w:sz w:val="24"/>
          <w:szCs w:val="24"/>
          <w:lang w:val="hu-HU" w:eastAsia="hu-HU"/>
        </w:rPr>
        <w:t>18</w:t>
      </w:r>
      <w:r w:rsidRPr="005E477E">
        <w:rPr>
          <w:rFonts w:eastAsia="Times New Roman"/>
          <w:sz w:val="24"/>
          <w:szCs w:val="24"/>
          <w:lang w:val="hu-HU" w:eastAsia="hu-HU"/>
        </w:rPr>
        <w:t>(6), 689-708.</w:t>
      </w:r>
    </w:p>
    <w:p w14:paraId="020FDF44" w14:textId="6E7C582A" w:rsidR="002604AF" w:rsidRPr="005E477E" w:rsidRDefault="002604AF" w:rsidP="005E477E">
      <w:pPr>
        <w:spacing w:after="60" w:line="276" w:lineRule="auto"/>
        <w:ind w:left="709" w:hanging="709"/>
        <w:jc w:val="both"/>
        <w:rPr>
          <w:rFonts w:eastAsia="Times New Roman"/>
          <w:sz w:val="24"/>
          <w:szCs w:val="24"/>
          <w:lang w:val="hu-HU" w:eastAsia="hu-HU"/>
        </w:rPr>
      </w:pPr>
      <w:r w:rsidRPr="005E477E">
        <w:rPr>
          <w:rFonts w:eastAsia="Times New Roman"/>
          <w:sz w:val="24"/>
          <w:szCs w:val="24"/>
          <w:lang w:val="hu-HU" w:eastAsia="hu-HU"/>
        </w:rPr>
        <w:t xml:space="preserve">Denis, D.J. (2004) Entrepreneurial finance: an overview of the issues and evidence, </w:t>
      </w:r>
      <w:r w:rsidRPr="005E477E">
        <w:rPr>
          <w:rFonts w:eastAsia="Times New Roman"/>
          <w:i/>
          <w:sz w:val="24"/>
          <w:szCs w:val="24"/>
          <w:lang w:val="hu-HU" w:eastAsia="hu-HU"/>
        </w:rPr>
        <w:t>Journal of  Corporate Finance</w:t>
      </w:r>
      <w:r w:rsidRPr="005E477E">
        <w:rPr>
          <w:rFonts w:eastAsia="Times New Roman"/>
          <w:sz w:val="24"/>
          <w:szCs w:val="24"/>
          <w:lang w:val="hu-HU" w:eastAsia="hu-HU"/>
        </w:rPr>
        <w:t xml:space="preserve"> 10(2):.301–32</w:t>
      </w:r>
      <w:r w:rsidR="000855F1" w:rsidRPr="005E477E">
        <w:rPr>
          <w:rFonts w:eastAsia="Times New Roman"/>
          <w:sz w:val="24"/>
          <w:szCs w:val="24"/>
          <w:lang w:val="hu-HU" w:eastAsia="hu-HU"/>
        </w:rPr>
        <w:t>.</w:t>
      </w:r>
    </w:p>
    <w:p w14:paraId="334F3BD2" w14:textId="01B6A4CF" w:rsidR="000855F1" w:rsidRPr="005E477E" w:rsidRDefault="000855F1" w:rsidP="005E477E">
      <w:pPr>
        <w:spacing w:after="60" w:line="276" w:lineRule="auto"/>
        <w:jc w:val="both"/>
        <w:rPr>
          <w:rFonts w:eastAsia="Times New Roman"/>
          <w:sz w:val="24"/>
          <w:szCs w:val="24"/>
          <w:lang w:eastAsia="hu-HU"/>
        </w:rPr>
      </w:pPr>
      <w:r w:rsidRPr="005E477E">
        <w:rPr>
          <w:rFonts w:eastAsia="Times New Roman"/>
          <w:sz w:val="24"/>
          <w:szCs w:val="24"/>
          <w:lang w:eastAsia="hu-HU"/>
        </w:rPr>
        <w:t>Egger, P.,</w:t>
      </w:r>
      <w:proofErr w:type="spellStart"/>
      <w:r w:rsidRPr="005E477E">
        <w:rPr>
          <w:rFonts w:eastAsia="Times New Roman"/>
          <w:sz w:val="24"/>
          <w:szCs w:val="24"/>
          <w:lang w:eastAsia="hu-HU"/>
        </w:rPr>
        <w:t>Loretz</w:t>
      </w:r>
      <w:proofErr w:type="spellEnd"/>
      <w:r w:rsidRPr="005E477E">
        <w:rPr>
          <w:rFonts w:eastAsia="Times New Roman"/>
          <w:sz w:val="24"/>
          <w:szCs w:val="24"/>
          <w:lang w:eastAsia="hu-HU"/>
        </w:rPr>
        <w:t xml:space="preserve">, S. (2010). Homogeneous profit tax effects for heterogeneous firms?. </w:t>
      </w:r>
      <w:r w:rsidRPr="005E477E">
        <w:rPr>
          <w:rFonts w:eastAsia="Times New Roman"/>
          <w:i/>
          <w:iCs/>
          <w:sz w:val="24"/>
          <w:szCs w:val="24"/>
          <w:lang w:eastAsia="hu-HU"/>
        </w:rPr>
        <w:t xml:space="preserve">The </w:t>
      </w:r>
      <w:r w:rsidRPr="005E477E">
        <w:rPr>
          <w:rFonts w:eastAsia="Times New Roman"/>
          <w:i/>
          <w:iCs/>
          <w:sz w:val="24"/>
          <w:szCs w:val="24"/>
          <w:lang w:eastAsia="hu-HU"/>
        </w:rPr>
        <w:tab/>
        <w:t>World Economy</w:t>
      </w:r>
      <w:r w:rsidRPr="005E477E">
        <w:rPr>
          <w:rFonts w:eastAsia="Times New Roman"/>
          <w:sz w:val="24"/>
          <w:szCs w:val="24"/>
          <w:lang w:eastAsia="hu-HU"/>
        </w:rPr>
        <w:t xml:space="preserve">, </w:t>
      </w:r>
      <w:r w:rsidRPr="005E477E">
        <w:rPr>
          <w:rFonts w:eastAsia="Times New Roman"/>
          <w:i/>
          <w:iCs/>
          <w:sz w:val="24"/>
          <w:szCs w:val="24"/>
          <w:lang w:eastAsia="hu-HU"/>
        </w:rPr>
        <w:t>33</w:t>
      </w:r>
      <w:r w:rsidRPr="005E477E">
        <w:rPr>
          <w:rFonts w:eastAsia="Times New Roman"/>
          <w:sz w:val="24"/>
          <w:szCs w:val="24"/>
          <w:lang w:eastAsia="hu-HU"/>
        </w:rPr>
        <w:t>(8), 1023-1041.</w:t>
      </w:r>
    </w:p>
    <w:p w14:paraId="2400E4EA" w14:textId="77777777" w:rsidR="00F635B3" w:rsidRPr="005E477E" w:rsidRDefault="00F635B3" w:rsidP="005E477E">
      <w:pPr>
        <w:pStyle w:val="NoSpacing"/>
        <w:spacing w:after="60" w:line="276" w:lineRule="auto"/>
        <w:jc w:val="both"/>
        <w:rPr>
          <w:sz w:val="24"/>
          <w:szCs w:val="24"/>
          <w:lang w:val="en-US"/>
        </w:rPr>
      </w:pPr>
      <w:r w:rsidRPr="005E477E">
        <w:rPr>
          <w:sz w:val="24"/>
          <w:szCs w:val="24"/>
          <w:lang w:val="en-US"/>
        </w:rPr>
        <w:t xml:space="preserve">Evans, D.S., </w:t>
      </w:r>
      <w:proofErr w:type="spellStart"/>
      <w:r w:rsidRPr="005E477E">
        <w:rPr>
          <w:sz w:val="24"/>
          <w:szCs w:val="24"/>
          <w:lang w:val="en-US"/>
        </w:rPr>
        <w:t>Jovanovic</w:t>
      </w:r>
      <w:proofErr w:type="spellEnd"/>
      <w:r w:rsidRPr="005E477E">
        <w:rPr>
          <w:sz w:val="24"/>
          <w:szCs w:val="24"/>
          <w:lang w:val="en-US"/>
        </w:rPr>
        <w:t xml:space="preserve">, B., 1989. An estimated model of entrepreneurial choice under </w:t>
      </w:r>
      <w:r w:rsidRPr="005E477E">
        <w:rPr>
          <w:sz w:val="24"/>
          <w:szCs w:val="24"/>
          <w:lang w:val="en-US"/>
        </w:rPr>
        <w:tab/>
        <w:t>liquidity constraints. Journal of Political Economy 97, 774–806.</w:t>
      </w:r>
    </w:p>
    <w:p w14:paraId="469B4B21" w14:textId="77777777" w:rsidR="00976DA4" w:rsidRPr="005E477E" w:rsidRDefault="00976DA4" w:rsidP="005E477E">
      <w:pPr>
        <w:spacing w:after="60" w:line="276" w:lineRule="auto"/>
        <w:ind w:left="709" w:hanging="709"/>
        <w:jc w:val="both"/>
        <w:rPr>
          <w:sz w:val="24"/>
          <w:szCs w:val="24"/>
        </w:rPr>
      </w:pPr>
      <w:proofErr w:type="spellStart"/>
      <w:r w:rsidRPr="005E477E">
        <w:rPr>
          <w:sz w:val="24"/>
          <w:szCs w:val="24"/>
        </w:rPr>
        <w:t>Ewens</w:t>
      </w:r>
      <w:proofErr w:type="spellEnd"/>
      <w:r w:rsidRPr="005E477E">
        <w:rPr>
          <w:sz w:val="24"/>
          <w:szCs w:val="24"/>
        </w:rPr>
        <w:t>, M., Jones, C. M., &amp; Rhodes-</w:t>
      </w:r>
      <w:proofErr w:type="spellStart"/>
      <w:r w:rsidRPr="005E477E">
        <w:rPr>
          <w:sz w:val="24"/>
          <w:szCs w:val="24"/>
        </w:rPr>
        <w:t>Kropf</w:t>
      </w:r>
      <w:proofErr w:type="spellEnd"/>
      <w:r w:rsidRPr="005E477E">
        <w:rPr>
          <w:sz w:val="24"/>
          <w:szCs w:val="24"/>
        </w:rPr>
        <w:t xml:space="preserve">, M. (2013). The price of diversifiable risk in venture capital and private equity. </w:t>
      </w:r>
      <w:r w:rsidRPr="005E477E">
        <w:rPr>
          <w:i/>
          <w:iCs/>
          <w:sz w:val="24"/>
          <w:szCs w:val="24"/>
        </w:rPr>
        <w:t>Review of Financial Studies</w:t>
      </w:r>
      <w:r w:rsidRPr="005E477E">
        <w:rPr>
          <w:sz w:val="24"/>
          <w:szCs w:val="24"/>
        </w:rPr>
        <w:t>, hht035.</w:t>
      </w:r>
    </w:p>
    <w:p w14:paraId="1A8A0322" w14:textId="3BA6FEDA" w:rsidR="007D0185" w:rsidRPr="005E477E" w:rsidRDefault="007D0185" w:rsidP="005E477E">
      <w:pPr>
        <w:pStyle w:val="NoSpacing"/>
        <w:spacing w:after="60" w:line="276" w:lineRule="auto"/>
        <w:jc w:val="both"/>
        <w:rPr>
          <w:sz w:val="24"/>
          <w:szCs w:val="24"/>
          <w:lang w:val="en-US"/>
        </w:rPr>
      </w:pPr>
      <w:r w:rsidRPr="005E477E">
        <w:rPr>
          <w:sz w:val="24"/>
          <w:szCs w:val="24"/>
          <w:lang w:val="en-US"/>
        </w:rPr>
        <w:t xml:space="preserve">Feldman, M. P. The entrepreneurial event revisited: Firm formation in a regional context. In </w:t>
      </w:r>
      <w:r w:rsidRPr="005E477E">
        <w:rPr>
          <w:sz w:val="24"/>
          <w:szCs w:val="24"/>
          <w:lang w:val="en-US"/>
        </w:rPr>
        <w:tab/>
        <w:t>Industrial and Corporate Change. 2001, vol. 10, no. 4, p. 861–891.</w:t>
      </w:r>
    </w:p>
    <w:p w14:paraId="30174B8E" w14:textId="3F2054AB" w:rsidR="005E53CA" w:rsidRPr="005E477E" w:rsidRDefault="009E177A" w:rsidP="005E477E">
      <w:pPr>
        <w:spacing w:after="60" w:line="276" w:lineRule="auto"/>
        <w:ind w:left="709" w:hanging="709"/>
        <w:jc w:val="both"/>
        <w:rPr>
          <w:rFonts w:eastAsia="Times New Roman"/>
          <w:sz w:val="24"/>
          <w:szCs w:val="24"/>
          <w:lang w:val="hu-HU" w:eastAsia="hu-HU"/>
        </w:rPr>
      </w:pPr>
      <w:r w:rsidRPr="005E477E">
        <w:rPr>
          <w:rFonts w:eastAsia="Times New Roman"/>
          <w:sz w:val="24"/>
          <w:szCs w:val="24"/>
          <w:lang w:val="hu-HU" w:eastAsia="hu-HU"/>
        </w:rPr>
        <w:t xml:space="preserve">Fraser, S., Bhaumik, S. K., and Wright, M. (2015). What do we know about entrepreneurial finance and its relationship with growth?. </w:t>
      </w:r>
      <w:r w:rsidRPr="005E477E">
        <w:rPr>
          <w:rFonts w:eastAsia="Times New Roman"/>
          <w:i/>
          <w:iCs/>
          <w:sz w:val="24"/>
          <w:szCs w:val="24"/>
          <w:lang w:val="hu-HU" w:eastAsia="hu-HU"/>
        </w:rPr>
        <w:t>International Small Business Journal</w:t>
      </w:r>
      <w:r w:rsidRPr="005E477E">
        <w:rPr>
          <w:rFonts w:eastAsia="Times New Roman"/>
          <w:sz w:val="24"/>
          <w:szCs w:val="24"/>
          <w:lang w:val="hu-HU" w:eastAsia="hu-HU"/>
        </w:rPr>
        <w:t xml:space="preserve">, </w:t>
      </w:r>
      <w:r w:rsidRPr="005E477E">
        <w:rPr>
          <w:rFonts w:eastAsia="Times New Roman"/>
          <w:i/>
          <w:iCs/>
          <w:sz w:val="24"/>
          <w:szCs w:val="24"/>
          <w:lang w:val="hu-HU" w:eastAsia="hu-HU"/>
        </w:rPr>
        <w:t>33</w:t>
      </w:r>
      <w:r w:rsidRPr="005E477E">
        <w:rPr>
          <w:rFonts w:eastAsia="Times New Roman"/>
          <w:sz w:val="24"/>
          <w:szCs w:val="24"/>
          <w:lang w:val="hu-HU" w:eastAsia="hu-HU"/>
        </w:rPr>
        <w:t>(1), 70-88.</w:t>
      </w:r>
    </w:p>
    <w:p w14:paraId="6AED6247" w14:textId="2FE028B8" w:rsidR="007D0185" w:rsidRPr="005E477E" w:rsidRDefault="007D0185" w:rsidP="005E477E">
      <w:pPr>
        <w:pStyle w:val="NoSpacing"/>
        <w:spacing w:after="60" w:line="276" w:lineRule="auto"/>
        <w:jc w:val="both"/>
        <w:rPr>
          <w:sz w:val="24"/>
          <w:szCs w:val="24"/>
          <w:lang w:val="en-US"/>
        </w:rPr>
      </w:pPr>
      <w:r w:rsidRPr="005E477E">
        <w:rPr>
          <w:sz w:val="24"/>
          <w:szCs w:val="24"/>
          <w:lang w:val="en-US"/>
        </w:rPr>
        <w:lastRenderedPageBreak/>
        <w:t xml:space="preserve">Fritsch, M. (2013). New business formation and regional development: A survey and </w:t>
      </w:r>
      <w:r w:rsidRPr="005E477E">
        <w:rPr>
          <w:sz w:val="24"/>
          <w:szCs w:val="24"/>
          <w:lang w:val="en-US"/>
        </w:rPr>
        <w:tab/>
        <w:t>assessment of the evidence. Foundations and Trends in Entrepreneurship, 9, 248–364.</w:t>
      </w:r>
    </w:p>
    <w:p w14:paraId="4EF85FC7" w14:textId="51167D18" w:rsidR="00A11879" w:rsidRPr="005E477E" w:rsidRDefault="00A11879" w:rsidP="005E477E">
      <w:pPr>
        <w:spacing w:after="60" w:line="276" w:lineRule="auto"/>
        <w:ind w:left="720" w:hanging="720"/>
        <w:jc w:val="both"/>
        <w:rPr>
          <w:rFonts w:cstheme="minorHAnsi"/>
          <w:sz w:val="24"/>
          <w:szCs w:val="24"/>
        </w:rPr>
      </w:pPr>
      <w:proofErr w:type="spellStart"/>
      <w:r w:rsidRPr="005E477E">
        <w:rPr>
          <w:rFonts w:cstheme="minorHAnsi"/>
          <w:sz w:val="24"/>
          <w:szCs w:val="24"/>
        </w:rPr>
        <w:t>Ghio</w:t>
      </w:r>
      <w:proofErr w:type="spellEnd"/>
      <w:r w:rsidRPr="005E477E">
        <w:rPr>
          <w:rFonts w:cstheme="minorHAnsi"/>
          <w:sz w:val="24"/>
          <w:szCs w:val="24"/>
        </w:rPr>
        <w:t xml:space="preserve">, N., </w:t>
      </w:r>
      <w:proofErr w:type="spellStart"/>
      <w:r w:rsidRPr="005E477E">
        <w:rPr>
          <w:rFonts w:cstheme="minorHAnsi"/>
          <w:sz w:val="24"/>
          <w:szCs w:val="24"/>
        </w:rPr>
        <w:t>Guerini</w:t>
      </w:r>
      <w:proofErr w:type="spellEnd"/>
      <w:r w:rsidRPr="005E477E">
        <w:rPr>
          <w:rFonts w:cstheme="minorHAnsi"/>
          <w:sz w:val="24"/>
          <w:szCs w:val="24"/>
        </w:rPr>
        <w:t>, M., Lehmann, E. E., Rossi-</w:t>
      </w:r>
      <w:proofErr w:type="spellStart"/>
      <w:r w:rsidRPr="005E477E">
        <w:rPr>
          <w:rFonts w:cstheme="minorHAnsi"/>
          <w:sz w:val="24"/>
          <w:szCs w:val="24"/>
        </w:rPr>
        <w:t>Lamastra</w:t>
      </w:r>
      <w:proofErr w:type="spellEnd"/>
      <w:r w:rsidRPr="005E477E">
        <w:rPr>
          <w:rFonts w:cstheme="minorHAnsi"/>
          <w:sz w:val="24"/>
          <w:szCs w:val="24"/>
        </w:rPr>
        <w:t xml:space="preserve">, C. (2015). The emergence of the knowledge </w:t>
      </w:r>
      <w:proofErr w:type="spellStart"/>
      <w:r w:rsidRPr="005E477E">
        <w:rPr>
          <w:rFonts w:cstheme="minorHAnsi"/>
          <w:sz w:val="24"/>
          <w:szCs w:val="24"/>
        </w:rPr>
        <w:t>spillover</w:t>
      </w:r>
      <w:proofErr w:type="spellEnd"/>
      <w:r w:rsidRPr="005E477E">
        <w:rPr>
          <w:rFonts w:cstheme="minorHAnsi"/>
          <w:sz w:val="24"/>
          <w:szCs w:val="24"/>
        </w:rPr>
        <w:t xml:space="preserve"> theory of entrepreneurship, Small Business Economics, 44(1), 1-18, doi:10.1007/s11187-014-9588-y</w:t>
      </w:r>
      <w:r w:rsidR="000855F1" w:rsidRPr="005E477E">
        <w:rPr>
          <w:rFonts w:cstheme="minorHAnsi"/>
          <w:sz w:val="24"/>
          <w:szCs w:val="24"/>
        </w:rPr>
        <w:t>.</w:t>
      </w:r>
    </w:p>
    <w:p w14:paraId="07166ABE" w14:textId="0209B180" w:rsidR="000855F1" w:rsidRPr="005E477E" w:rsidRDefault="000855F1" w:rsidP="005E477E">
      <w:pPr>
        <w:spacing w:after="60" w:line="276" w:lineRule="auto"/>
        <w:jc w:val="both"/>
        <w:rPr>
          <w:rFonts w:eastAsia="Times New Roman"/>
          <w:sz w:val="24"/>
          <w:szCs w:val="24"/>
          <w:lang w:eastAsia="hu-HU"/>
        </w:rPr>
      </w:pPr>
      <w:r w:rsidRPr="005E477E">
        <w:rPr>
          <w:rFonts w:eastAsia="Times New Roman"/>
          <w:sz w:val="24"/>
          <w:szCs w:val="24"/>
          <w:lang w:eastAsia="hu-HU"/>
        </w:rPr>
        <w:t xml:space="preserve">Gordon, R., Li, W. (2009). Tax structures in developing countries: Many puzzles and a </w:t>
      </w:r>
      <w:r w:rsidRPr="005E477E">
        <w:rPr>
          <w:rFonts w:eastAsia="Times New Roman"/>
          <w:sz w:val="24"/>
          <w:szCs w:val="24"/>
          <w:lang w:eastAsia="hu-HU"/>
        </w:rPr>
        <w:tab/>
        <w:t xml:space="preserve">possible explanation. </w:t>
      </w:r>
      <w:r w:rsidRPr="005E477E">
        <w:rPr>
          <w:rFonts w:eastAsia="Times New Roman"/>
          <w:i/>
          <w:iCs/>
          <w:sz w:val="24"/>
          <w:szCs w:val="24"/>
          <w:lang w:eastAsia="hu-HU"/>
        </w:rPr>
        <w:t>Journal of public Economics</w:t>
      </w:r>
      <w:r w:rsidRPr="005E477E">
        <w:rPr>
          <w:rFonts w:eastAsia="Times New Roman"/>
          <w:sz w:val="24"/>
          <w:szCs w:val="24"/>
          <w:lang w:eastAsia="hu-HU"/>
        </w:rPr>
        <w:t xml:space="preserve">, </w:t>
      </w:r>
      <w:r w:rsidRPr="005E477E">
        <w:rPr>
          <w:rFonts w:eastAsia="Times New Roman"/>
          <w:i/>
          <w:iCs/>
          <w:sz w:val="24"/>
          <w:szCs w:val="24"/>
          <w:lang w:eastAsia="hu-HU"/>
        </w:rPr>
        <w:t>93</w:t>
      </w:r>
      <w:r w:rsidRPr="005E477E">
        <w:rPr>
          <w:rFonts w:eastAsia="Times New Roman"/>
          <w:sz w:val="24"/>
          <w:szCs w:val="24"/>
          <w:lang w:eastAsia="hu-HU"/>
        </w:rPr>
        <w:t>(7), 855-866.</w:t>
      </w:r>
    </w:p>
    <w:p w14:paraId="05E40934" w14:textId="731131E4" w:rsidR="000855F1" w:rsidRPr="005E477E" w:rsidRDefault="000855F1" w:rsidP="005E477E">
      <w:pPr>
        <w:spacing w:after="60" w:line="276" w:lineRule="auto"/>
        <w:jc w:val="both"/>
        <w:rPr>
          <w:rFonts w:eastAsia="Times New Roman"/>
          <w:sz w:val="24"/>
          <w:szCs w:val="24"/>
          <w:lang w:eastAsia="hu-HU"/>
        </w:rPr>
      </w:pPr>
      <w:r w:rsidRPr="005E477E">
        <w:rPr>
          <w:rFonts w:eastAsia="Times New Roman"/>
          <w:sz w:val="24"/>
          <w:szCs w:val="24"/>
          <w:lang w:eastAsia="hu-HU"/>
        </w:rPr>
        <w:t xml:space="preserve">Gregory, B. T., Rutherford, M. W., Oswald, S., Gardiner, L. (2005). An empirical </w:t>
      </w:r>
      <w:r w:rsidRPr="005E477E">
        <w:rPr>
          <w:rFonts w:eastAsia="Times New Roman"/>
          <w:sz w:val="24"/>
          <w:szCs w:val="24"/>
          <w:lang w:eastAsia="hu-HU"/>
        </w:rPr>
        <w:tab/>
        <w:t xml:space="preserve">investigation of the growth cycle theory of small firm financing. </w:t>
      </w:r>
      <w:r w:rsidRPr="005E477E">
        <w:rPr>
          <w:rFonts w:eastAsia="Times New Roman"/>
          <w:i/>
          <w:iCs/>
          <w:sz w:val="24"/>
          <w:szCs w:val="24"/>
          <w:lang w:eastAsia="hu-HU"/>
        </w:rPr>
        <w:t xml:space="preserve">Journal of Small </w:t>
      </w:r>
      <w:r w:rsidRPr="005E477E">
        <w:rPr>
          <w:rFonts w:eastAsia="Times New Roman"/>
          <w:i/>
          <w:iCs/>
          <w:sz w:val="24"/>
          <w:szCs w:val="24"/>
          <w:lang w:eastAsia="hu-HU"/>
        </w:rPr>
        <w:tab/>
        <w:t>Business Management</w:t>
      </w:r>
      <w:r w:rsidRPr="005E477E">
        <w:rPr>
          <w:rFonts w:eastAsia="Times New Roman"/>
          <w:sz w:val="24"/>
          <w:szCs w:val="24"/>
          <w:lang w:eastAsia="hu-HU"/>
        </w:rPr>
        <w:t xml:space="preserve">, </w:t>
      </w:r>
      <w:r w:rsidRPr="005E477E">
        <w:rPr>
          <w:rFonts w:eastAsia="Times New Roman"/>
          <w:i/>
          <w:iCs/>
          <w:sz w:val="24"/>
          <w:szCs w:val="24"/>
          <w:lang w:eastAsia="hu-HU"/>
        </w:rPr>
        <w:t>43</w:t>
      </w:r>
      <w:r w:rsidRPr="005E477E">
        <w:rPr>
          <w:rFonts w:eastAsia="Times New Roman"/>
          <w:sz w:val="24"/>
          <w:szCs w:val="24"/>
          <w:lang w:eastAsia="hu-HU"/>
        </w:rPr>
        <w:t>(4), 382-392.</w:t>
      </w:r>
    </w:p>
    <w:p w14:paraId="2A37A0D1" w14:textId="23E57E66" w:rsidR="00155328" w:rsidRPr="005E477E" w:rsidRDefault="00155328" w:rsidP="005E477E">
      <w:pPr>
        <w:spacing w:after="60" w:line="276" w:lineRule="auto"/>
        <w:ind w:left="709" w:hanging="709"/>
        <w:jc w:val="both"/>
        <w:rPr>
          <w:sz w:val="24"/>
          <w:szCs w:val="24"/>
        </w:rPr>
      </w:pPr>
      <w:r w:rsidRPr="005E477E">
        <w:rPr>
          <w:sz w:val="24"/>
          <w:szCs w:val="24"/>
        </w:rPr>
        <w:t xml:space="preserve">Groh, A, H. Liechtenstein and K. </w:t>
      </w:r>
      <w:proofErr w:type="spellStart"/>
      <w:r w:rsidRPr="005E477E">
        <w:rPr>
          <w:sz w:val="24"/>
          <w:szCs w:val="24"/>
        </w:rPr>
        <w:t>Lieser</w:t>
      </w:r>
      <w:proofErr w:type="spellEnd"/>
      <w:r w:rsidRPr="005E477E">
        <w:rPr>
          <w:sz w:val="24"/>
          <w:szCs w:val="24"/>
        </w:rPr>
        <w:t>. (2012). The Global Venture Capital and Private Equity Country A</w:t>
      </w:r>
      <w:r w:rsidR="000855F1" w:rsidRPr="005E477E">
        <w:rPr>
          <w:sz w:val="24"/>
          <w:szCs w:val="24"/>
        </w:rPr>
        <w:t>ttractiveness Index 2012 Annual.</w:t>
      </w:r>
    </w:p>
    <w:p w14:paraId="4ABD0AB0" w14:textId="4A8A35A4" w:rsidR="000855F1" w:rsidRPr="005E477E" w:rsidRDefault="000855F1" w:rsidP="005E477E">
      <w:pPr>
        <w:spacing w:after="60" w:line="276" w:lineRule="auto"/>
        <w:jc w:val="both"/>
        <w:rPr>
          <w:rFonts w:eastAsia="Times New Roman"/>
          <w:sz w:val="24"/>
          <w:szCs w:val="24"/>
          <w:lang w:eastAsia="hu-HU"/>
        </w:rPr>
      </w:pPr>
      <w:proofErr w:type="spellStart"/>
      <w:r w:rsidRPr="005E477E">
        <w:rPr>
          <w:rFonts w:eastAsia="Times New Roman"/>
          <w:sz w:val="24"/>
          <w:szCs w:val="24"/>
          <w:lang w:eastAsia="hu-HU"/>
        </w:rPr>
        <w:t>Haufler</w:t>
      </w:r>
      <w:proofErr w:type="spellEnd"/>
      <w:r w:rsidRPr="005E477E">
        <w:rPr>
          <w:rFonts w:eastAsia="Times New Roman"/>
          <w:sz w:val="24"/>
          <w:szCs w:val="24"/>
          <w:lang w:eastAsia="hu-HU"/>
        </w:rPr>
        <w:t xml:space="preserve">, A., </w:t>
      </w:r>
      <w:proofErr w:type="spellStart"/>
      <w:r w:rsidRPr="005E477E">
        <w:rPr>
          <w:rFonts w:eastAsia="Times New Roman"/>
          <w:sz w:val="24"/>
          <w:szCs w:val="24"/>
          <w:lang w:eastAsia="hu-HU"/>
        </w:rPr>
        <w:t>Norbäck</w:t>
      </w:r>
      <w:proofErr w:type="spellEnd"/>
      <w:r w:rsidRPr="005E477E">
        <w:rPr>
          <w:rFonts w:eastAsia="Times New Roman"/>
          <w:sz w:val="24"/>
          <w:szCs w:val="24"/>
          <w:lang w:eastAsia="hu-HU"/>
        </w:rPr>
        <w:t xml:space="preserve">, P. J., </w:t>
      </w:r>
      <w:proofErr w:type="spellStart"/>
      <w:r w:rsidRPr="005E477E">
        <w:rPr>
          <w:rFonts w:eastAsia="Times New Roman"/>
          <w:sz w:val="24"/>
          <w:szCs w:val="24"/>
          <w:lang w:eastAsia="hu-HU"/>
        </w:rPr>
        <w:t>Persson</w:t>
      </w:r>
      <w:proofErr w:type="spellEnd"/>
      <w:r w:rsidRPr="005E477E">
        <w:rPr>
          <w:rFonts w:eastAsia="Times New Roman"/>
          <w:sz w:val="24"/>
          <w:szCs w:val="24"/>
          <w:lang w:eastAsia="hu-HU"/>
        </w:rPr>
        <w:t xml:space="preserve">, L. (2014). Entrepreneurial innovations and taxation. </w:t>
      </w:r>
      <w:r w:rsidRPr="005E477E">
        <w:rPr>
          <w:rFonts w:eastAsia="Times New Roman"/>
          <w:sz w:val="24"/>
          <w:szCs w:val="24"/>
          <w:lang w:eastAsia="hu-HU"/>
        </w:rPr>
        <w:tab/>
      </w:r>
      <w:r w:rsidRPr="005E477E">
        <w:rPr>
          <w:rFonts w:eastAsia="Times New Roman"/>
          <w:i/>
          <w:iCs/>
          <w:sz w:val="24"/>
          <w:szCs w:val="24"/>
          <w:lang w:eastAsia="hu-HU"/>
        </w:rPr>
        <w:t>Journal of Public Economics</w:t>
      </w:r>
      <w:r w:rsidRPr="005E477E">
        <w:rPr>
          <w:rFonts w:eastAsia="Times New Roman"/>
          <w:sz w:val="24"/>
          <w:szCs w:val="24"/>
          <w:lang w:eastAsia="hu-HU"/>
        </w:rPr>
        <w:t xml:space="preserve">, </w:t>
      </w:r>
      <w:r w:rsidRPr="005E477E">
        <w:rPr>
          <w:rFonts w:eastAsia="Times New Roman"/>
          <w:i/>
          <w:iCs/>
          <w:sz w:val="24"/>
          <w:szCs w:val="24"/>
          <w:lang w:eastAsia="hu-HU"/>
        </w:rPr>
        <w:t>113</w:t>
      </w:r>
      <w:r w:rsidRPr="005E477E">
        <w:rPr>
          <w:rFonts w:eastAsia="Times New Roman"/>
          <w:sz w:val="24"/>
          <w:szCs w:val="24"/>
          <w:lang w:eastAsia="hu-HU"/>
        </w:rPr>
        <w:t>, 13-31.</w:t>
      </w:r>
    </w:p>
    <w:p w14:paraId="02BD0FCB" w14:textId="2A138962" w:rsidR="000855F1" w:rsidRPr="005E477E" w:rsidRDefault="000855F1" w:rsidP="005E477E">
      <w:pPr>
        <w:spacing w:after="60" w:line="276" w:lineRule="auto"/>
        <w:jc w:val="both"/>
        <w:rPr>
          <w:rFonts w:eastAsia="Times New Roman"/>
          <w:sz w:val="24"/>
          <w:szCs w:val="24"/>
          <w:lang w:eastAsia="hu-HU"/>
        </w:rPr>
      </w:pPr>
      <w:proofErr w:type="spellStart"/>
      <w:r w:rsidRPr="005E477E">
        <w:rPr>
          <w:rFonts w:eastAsia="Times New Roman"/>
          <w:sz w:val="24"/>
          <w:szCs w:val="24"/>
          <w:lang w:eastAsia="hu-HU"/>
        </w:rPr>
        <w:t>Hauner</w:t>
      </w:r>
      <w:proofErr w:type="spellEnd"/>
      <w:r w:rsidRPr="005E477E">
        <w:rPr>
          <w:rFonts w:eastAsia="Times New Roman"/>
          <w:sz w:val="24"/>
          <w:szCs w:val="24"/>
          <w:lang w:eastAsia="hu-HU"/>
        </w:rPr>
        <w:t xml:space="preserve">, D. </w:t>
      </w:r>
      <w:proofErr w:type="spellStart"/>
      <w:r w:rsidRPr="005E477E">
        <w:rPr>
          <w:rFonts w:eastAsia="Times New Roman"/>
          <w:sz w:val="24"/>
          <w:szCs w:val="24"/>
          <w:lang w:eastAsia="hu-HU"/>
        </w:rPr>
        <w:t>Kyobe</w:t>
      </w:r>
      <w:proofErr w:type="spellEnd"/>
      <w:r w:rsidRPr="005E477E">
        <w:rPr>
          <w:rFonts w:eastAsia="Times New Roman"/>
          <w:sz w:val="24"/>
          <w:szCs w:val="24"/>
          <w:lang w:eastAsia="hu-HU"/>
        </w:rPr>
        <w:t xml:space="preserve">, A. (2010). Determinants of government efficiency. </w:t>
      </w:r>
      <w:r w:rsidRPr="005E477E">
        <w:rPr>
          <w:rFonts w:eastAsia="Times New Roman"/>
          <w:i/>
          <w:iCs/>
          <w:sz w:val="24"/>
          <w:szCs w:val="24"/>
          <w:lang w:eastAsia="hu-HU"/>
        </w:rPr>
        <w:t>World Development</w:t>
      </w:r>
      <w:r w:rsidRPr="005E477E">
        <w:rPr>
          <w:rFonts w:eastAsia="Times New Roman"/>
          <w:sz w:val="24"/>
          <w:szCs w:val="24"/>
          <w:lang w:eastAsia="hu-HU"/>
        </w:rPr>
        <w:t xml:space="preserve">, </w:t>
      </w:r>
      <w:r w:rsidRPr="005E477E">
        <w:rPr>
          <w:rFonts w:eastAsia="Times New Roman"/>
          <w:sz w:val="24"/>
          <w:szCs w:val="24"/>
          <w:lang w:eastAsia="hu-HU"/>
        </w:rPr>
        <w:tab/>
      </w:r>
      <w:r w:rsidRPr="005E477E">
        <w:rPr>
          <w:rFonts w:eastAsia="Times New Roman"/>
          <w:i/>
          <w:iCs/>
          <w:sz w:val="24"/>
          <w:szCs w:val="24"/>
          <w:lang w:eastAsia="hu-HU"/>
        </w:rPr>
        <w:t>38</w:t>
      </w:r>
      <w:r w:rsidRPr="005E477E">
        <w:rPr>
          <w:rFonts w:eastAsia="Times New Roman"/>
          <w:sz w:val="24"/>
          <w:szCs w:val="24"/>
          <w:lang w:eastAsia="hu-HU"/>
        </w:rPr>
        <w:t>(11), 1527-1542.</w:t>
      </w:r>
    </w:p>
    <w:p w14:paraId="74FD3C04" w14:textId="631CDB1A" w:rsidR="007D0185" w:rsidRPr="005E477E" w:rsidRDefault="007D0185" w:rsidP="005E477E">
      <w:pPr>
        <w:pStyle w:val="NoSpacing"/>
        <w:spacing w:after="60" w:line="276" w:lineRule="auto"/>
        <w:jc w:val="both"/>
        <w:rPr>
          <w:sz w:val="24"/>
          <w:szCs w:val="24"/>
          <w:lang w:val="en-US"/>
        </w:rPr>
      </w:pPr>
      <w:r w:rsidRPr="005E477E">
        <w:rPr>
          <w:sz w:val="24"/>
          <w:szCs w:val="24"/>
          <w:lang w:val="en-US"/>
        </w:rPr>
        <w:t xml:space="preserve">Henrekson, M., Johansson, D. 2008. Competencies and Institutions Fostering High-growth </w:t>
      </w:r>
      <w:r w:rsidRPr="005E477E">
        <w:rPr>
          <w:sz w:val="24"/>
          <w:szCs w:val="24"/>
          <w:lang w:val="en-US"/>
        </w:rPr>
        <w:tab/>
        <w:t>Firms, IFN Working Paper, No. 757</w:t>
      </w:r>
      <w:r w:rsidR="000855F1" w:rsidRPr="005E477E">
        <w:rPr>
          <w:sz w:val="24"/>
          <w:szCs w:val="24"/>
          <w:lang w:val="en-US"/>
        </w:rPr>
        <w:t>.</w:t>
      </w:r>
    </w:p>
    <w:p w14:paraId="5C010895" w14:textId="7A2D0EAC" w:rsidR="000855F1" w:rsidRPr="005E477E" w:rsidRDefault="000855F1" w:rsidP="005E477E">
      <w:pPr>
        <w:spacing w:after="60" w:line="276" w:lineRule="auto"/>
        <w:jc w:val="both"/>
        <w:rPr>
          <w:sz w:val="24"/>
          <w:szCs w:val="24"/>
          <w:lang w:val="en-US"/>
        </w:rPr>
      </w:pPr>
      <w:r w:rsidRPr="005E477E">
        <w:rPr>
          <w:sz w:val="24"/>
          <w:szCs w:val="24"/>
          <w:lang w:val="en-US"/>
        </w:rPr>
        <w:t xml:space="preserve">Henrekson, M., D. </w:t>
      </w:r>
      <w:proofErr w:type="spellStart"/>
      <w:r w:rsidRPr="005E477E">
        <w:rPr>
          <w:sz w:val="24"/>
          <w:szCs w:val="24"/>
          <w:lang w:val="en-US"/>
        </w:rPr>
        <w:t>Jansson</w:t>
      </w:r>
      <w:proofErr w:type="spellEnd"/>
      <w:r w:rsidRPr="005E477E">
        <w:rPr>
          <w:sz w:val="24"/>
          <w:szCs w:val="24"/>
          <w:lang w:val="en-US"/>
        </w:rPr>
        <w:t xml:space="preserve"> (2008) Competencies and Institutions Fostering High-Growth </w:t>
      </w:r>
      <w:r w:rsidRPr="005E477E">
        <w:rPr>
          <w:sz w:val="24"/>
          <w:szCs w:val="24"/>
          <w:lang w:val="en-US"/>
        </w:rPr>
        <w:tab/>
        <w:t xml:space="preserve">Firms (July 4, 2008). IFN Working Paper No. 757. Available at SSRN: </w:t>
      </w:r>
      <w:r w:rsidRPr="005E477E">
        <w:rPr>
          <w:sz w:val="24"/>
          <w:szCs w:val="24"/>
          <w:lang w:val="en-US"/>
        </w:rPr>
        <w:tab/>
      </w:r>
      <w:hyperlink r:id="rId12" w:tgtFrame="_blank" w:history="1">
        <w:r w:rsidRPr="005E477E">
          <w:rPr>
            <w:rStyle w:val="Hyperlink"/>
            <w:sz w:val="24"/>
            <w:szCs w:val="24"/>
            <w:lang w:val="en-US"/>
          </w:rPr>
          <w:t>http://ssrn.com/abstract=1155480</w:t>
        </w:r>
      </w:hyperlink>
      <w:r w:rsidRPr="005E477E">
        <w:rPr>
          <w:sz w:val="24"/>
          <w:szCs w:val="24"/>
          <w:lang w:val="en-US"/>
        </w:rPr>
        <w:t xml:space="preserve"> </w:t>
      </w:r>
    </w:p>
    <w:p w14:paraId="1761B37F" w14:textId="77777777" w:rsidR="00F635B3" w:rsidRPr="005E477E" w:rsidRDefault="00F635B3" w:rsidP="005E477E">
      <w:pPr>
        <w:spacing w:after="60" w:line="276" w:lineRule="auto"/>
        <w:ind w:left="709" w:hanging="709"/>
        <w:jc w:val="both"/>
        <w:rPr>
          <w:sz w:val="24"/>
          <w:szCs w:val="24"/>
        </w:rPr>
      </w:pPr>
      <w:r w:rsidRPr="005E477E">
        <w:rPr>
          <w:sz w:val="24"/>
          <w:szCs w:val="24"/>
        </w:rPr>
        <w:t xml:space="preserve">Hirsch, J., </w:t>
      </w:r>
      <w:proofErr w:type="spellStart"/>
      <w:r w:rsidRPr="005E477E">
        <w:rPr>
          <w:sz w:val="24"/>
          <w:szCs w:val="24"/>
        </w:rPr>
        <w:t>Walz</w:t>
      </w:r>
      <w:proofErr w:type="spellEnd"/>
      <w:r w:rsidRPr="005E477E">
        <w:rPr>
          <w:sz w:val="24"/>
          <w:szCs w:val="24"/>
        </w:rPr>
        <w:t xml:space="preserve">, U. (2011). Financing Decisions along a Firm’s Life‐cycle: Debt as a Commitment Device. </w:t>
      </w:r>
      <w:r w:rsidRPr="005E477E">
        <w:rPr>
          <w:i/>
          <w:iCs/>
          <w:sz w:val="24"/>
          <w:szCs w:val="24"/>
        </w:rPr>
        <w:t>European Financial Management</w:t>
      </w:r>
      <w:r w:rsidRPr="005E477E">
        <w:rPr>
          <w:sz w:val="24"/>
          <w:szCs w:val="24"/>
        </w:rPr>
        <w:t xml:space="preserve">, </w:t>
      </w:r>
      <w:r w:rsidRPr="005E477E">
        <w:rPr>
          <w:i/>
          <w:iCs/>
          <w:sz w:val="24"/>
          <w:szCs w:val="24"/>
        </w:rPr>
        <w:t>17</w:t>
      </w:r>
      <w:r w:rsidRPr="005E477E">
        <w:rPr>
          <w:sz w:val="24"/>
          <w:szCs w:val="24"/>
        </w:rPr>
        <w:t>(5), 898-927.</w:t>
      </w:r>
    </w:p>
    <w:p w14:paraId="2EB32EB2" w14:textId="63EE1607" w:rsidR="000855F1" w:rsidRPr="005E477E" w:rsidRDefault="000855F1" w:rsidP="005E477E">
      <w:pPr>
        <w:spacing w:after="60" w:line="276" w:lineRule="auto"/>
        <w:jc w:val="both"/>
        <w:rPr>
          <w:rFonts w:eastAsia="Times New Roman"/>
          <w:sz w:val="24"/>
          <w:szCs w:val="24"/>
          <w:lang w:eastAsia="hu-HU"/>
        </w:rPr>
      </w:pPr>
      <w:r w:rsidRPr="005E477E">
        <w:rPr>
          <w:rFonts w:eastAsia="Times New Roman"/>
          <w:sz w:val="24"/>
          <w:szCs w:val="24"/>
          <w:lang w:eastAsia="hu-HU"/>
        </w:rPr>
        <w:t xml:space="preserve">Kerr, W. R., Nanda, R. (2011). 8 Financing constraints and entrepreneurship. </w:t>
      </w:r>
      <w:r w:rsidRPr="005E477E">
        <w:rPr>
          <w:rFonts w:eastAsia="Times New Roman"/>
          <w:i/>
          <w:iCs/>
          <w:sz w:val="24"/>
          <w:szCs w:val="24"/>
          <w:lang w:eastAsia="hu-HU"/>
        </w:rPr>
        <w:t xml:space="preserve">Handbook of </w:t>
      </w:r>
      <w:r w:rsidR="00F635B3" w:rsidRPr="005E477E">
        <w:rPr>
          <w:rFonts w:eastAsia="Times New Roman"/>
          <w:i/>
          <w:iCs/>
          <w:sz w:val="24"/>
          <w:szCs w:val="24"/>
          <w:lang w:eastAsia="hu-HU"/>
        </w:rPr>
        <w:tab/>
      </w:r>
      <w:r w:rsidRPr="005E477E">
        <w:rPr>
          <w:rFonts w:eastAsia="Times New Roman"/>
          <w:i/>
          <w:iCs/>
          <w:sz w:val="24"/>
          <w:szCs w:val="24"/>
          <w:lang w:eastAsia="hu-HU"/>
        </w:rPr>
        <w:t>Research on Innovation and Entrepreneurship</w:t>
      </w:r>
      <w:r w:rsidRPr="005E477E">
        <w:rPr>
          <w:rFonts w:eastAsia="Times New Roman"/>
          <w:sz w:val="24"/>
          <w:szCs w:val="24"/>
          <w:lang w:eastAsia="hu-HU"/>
        </w:rPr>
        <w:t>, 88.</w:t>
      </w:r>
    </w:p>
    <w:p w14:paraId="249DCC5C" w14:textId="3FCFFF6E" w:rsidR="000855F1" w:rsidRPr="005E477E" w:rsidRDefault="000855F1" w:rsidP="005E477E">
      <w:pPr>
        <w:spacing w:after="60" w:line="276" w:lineRule="auto"/>
        <w:jc w:val="both"/>
        <w:rPr>
          <w:rFonts w:eastAsia="Times New Roman" w:cs="Arial"/>
          <w:sz w:val="24"/>
          <w:szCs w:val="24"/>
          <w:lang w:eastAsia="hu-HU"/>
        </w:rPr>
      </w:pPr>
      <w:proofErr w:type="spellStart"/>
      <w:r w:rsidRPr="005E477E">
        <w:rPr>
          <w:rFonts w:eastAsia="Times New Roman" w:cs="Arial"/>
          <w:sz w:val="24"/>
          <w:szCs w:val="24"/>
          <w:lang w:eastAsia="hu-HU"/>
        </w:rPr>
        <w:t>Kraay</w:t>
      </w:r>
      <w:proofErr w:type="spellEnd"/>
      <w:r w:rsidRPr="005E477E">
        <w:rPr>
          <w:rFonts w:eastAsia="Times New Roman" w:cs="Arial"/>
          <w:sz w:val="24"/>
          <w:szCs w:val="24"/>
          <w:lang w:eastAsia="hu-HU"/>
        </w:rPr>
        <w:t xml:space="preserve">, A M. </w:t>
      </w:r>
      <w:proofErr w:type="spellStart"/>
      <w:r w:rsidRPr="005E477E">
        <w:rPr>
          <w:rFonts w:eastAsia="Times New Roman" w:cs="Arial"/>
          <w:sz w:val="24"/>
          <w:szCs w:val="24"/>
          <w:lang w:eastAsia="hu-HU"/>
        </w:rPr>
        <w:t>Mastruzzi</w:t>
      </w:r>
      <w:proofErr w:type="spellEnd"/>
      <w:r w:rsidRPr="005E477E">
        <w:rPr>
          <w:rFonts w:eastAsia="Times New Roman" w:cs="Arial"/>
          <w:sz w:val="24"/>
          <w:szCs w:val="24"/>
          <w:lang w:eastAsia="hu-HU"/>
        </w:rPr>
        <w:t xml:space="preserve"> 2010 The Worldwide Governance Indicators: Methodology and </w:t>
      </w:r>
      <w:r w:rsidR="00F635B3" w:rsidRPr="005E477E">
        <w:rPr>
          <w:rFonts w:eastAsia="Times New Roman" w:cs="Arial"/>
          <w:sz w:val="24"/>
          <w:szCs w:val="24"/>
          <w:lang w:eastAsia="hu-HU"/>
        </w:rPr>
        <w:tab/>
      </w:r>
      <w:r w:rsidRPr="005E477E">
        <w:rPr>
          <w:rFonts w:eastAsia="Times New Roman" w:cs="Arial"/>
          <w:sz w:val="24"/>
          <w:szCs w:val="24"/>
          <w:lang w:eastAsia="hu-HU"/>
        </w:rPr>
        <w:t>Analytical Issues, Daniel Kaufmann, Brookings Institution, World Bank</w:t>
      </w:r>
    </w:p>
    <w:p w14:paraId="54B5A5EF" w14:textId="29870697" w:rsidR="000855F1" w:rsidRPr="005E477E" w:rsidRDefault="00F635B3" w:rsidP="005E477E">
      <w:pPr>
        <w:spacing w:after="60" w:line="276" w:lineRule="auto"/>
        <w:jc w:val="both"/>
        <w:rPr>
          <w:rFonts w:eastAsia="Times New Roman" w:cs="Arial"/>
          <w:sz w:val="24"/>
          <w:szCs w:val="24"/>
          <w:lang w:eastAsia="hu-HU"/>
        </w:rPr>
      </w:pPr>
      <w:r w:rsidRPr="005E477E">
        <w:rPr>
          <w:rFonts w:eastAsia="Times New Roman" w:cs="Arial"/>
          <w:sz w:val="24"/>
          <w:szCs w:val="24"/>
          <w:lang w:eastAsia="hu-HU"/>
        </w:rPr>
        <w:tab/>
      </w:r>
      <w:r w:rsidR="000855F1" w:rsidRPr="005E477E">
        <w:rPr>
          <w:rFonts w:eastAsia="Times New Roman" w:cs="Arial"/>
          <w:sz w:val="24"/>
          <w:szCs w:val="24"/>
          <w:lang w:eastAsia="hu-HU"/>
        </w:rPr>
        <w:t xml:space="preserve">September, 2010, </w:t>
      </w:r>
      <w:hyperlink r:id="rId13" w:history="1">
        <w:r w:rsidR="000855F1" w:rsidRPr="005E477E">
          <w:rPr>
            <w:rStyle w:val="Hyperlink"/>
            <w:rFonts w:eastAsia="Times New Roman" w:cs="Arial"/>
            <w:sz w:val="24"/>
            <w:szCs w:val="24"/>
            <w:lang w:eastAsia="hu-HU"/>
          </w:rPr>
          <w:t>http://info.worldbank.org/governance/wgi/pdf/WGI.pdf</w:t>
        </w:r>
      </w:hyperlink>
      <w:r w:rsidR="000855F1" w:rsidRPr="005E477E">
        <w:rPr>
          <w:rFonts w:eastAsia="Times New Roman" w:cs="Arial"/>
          <w:sz w:val="24"/>
          <w:szCs w:val="24"/>
          <w:lang w:eastAsia="hu-HU"/>
        </w:rPr>
        <w:t xml:space="preserve"> </w:t>
      </w:r>
    </w:p>
    <w:p w14:paraId="64DE5BA1" w14:textId="23FD1EC0" w:rsidR="00CE6118" w:rsidRPr="005E477E" w:rsidRDefault="002A7EE7" w:rsidP="005E477E">
      <w:pPr>
        <w:spacing w:after="60" w:line="276" w:lineRule="auto"/>
        <w:ind w:left="709" w:hanging="709"/>
        <w:jc w:val="both"/>
        <w:rPr>
          <w:rFonts w:eastAsia="Times New Roman"/>
          <w:sz w:val="24"/>
          <w:szCs w:val="24"/>
          <w:lang w:val="hu-HU" w:eastAsia="hu-HU"/>
        </w:rPr>
      </w:pPr>
      <w:r w:rsidRPr="005E477E">
        <w:rPr>
          <w:rFonts w:eastAsia="Times New Roman"/>
          <w:sz w:val="24"/>
          <w:szCs w:val="24"/>
          <w:lang w:val="hu-HU" w:eastAsia="hu-HU"/>
        </w:rPr>
        <w:t>Kerr, W. R., Lerner, J.,</w:t>
      </w:r>
      <w:r w:rsidR="00CE6118" w:rsidRPr="005E477E">
        <w:rPr>
          <w:rFonts w:eastAsia="Times New Roman"/>
          <w:sz w:val="24"/>
          <w:szCs w:val="24"/>
          <w:lang w:val="hu-HU" w:eastAsia="hu-HU"/>
        </w:rPr>
        <w:t xml:space="preserve"> Schoar, A. (2014). The consequences of entrepreneurial finance: Evidence from angel financings. </w:t>
      </w:r>
      <w:r w:rsidR="00CE6118" w:rsidRPr="005E477E">
        <w:rPr>
          <w:rFonts w:eastAsia="Times New Roman"/>
          <w:i/>
          <w:iCs/>
          <w:sz w:val="24"/>
          <w:szCs w:val="24"/>
          <w:lang w:val="hu-HU" w:eastAsia="hu-HU"/>
        </w:rPr>
        <w:t>Review of Financial Studies</w:t>
      </w:r>
      <w:r w:rsidR="00CE6118" w:rsidRPr="005E477E">
        <w:rPr>
          <w:rFonts w:eastAsia="Times New Roman"/>
          <w:sz w:val="24"/>
          <w:szCs w:val="24"/>
          <w:lang w:val="hu-HU" w:eastAsia="hu-HU"/>
        </w:rPr>
        <w:t xml:space="preserve">, </w:t>
      </w:r>
      <w:r w:rsidR="00CE6118" w:rsidRPr="005E477E">
        <w:rPr>
          <w:rFonts w:eastAsia="Times New Roman"/>
          <w:i/>
          <w:iCs/>
          <w:sz w:val="24"/>
          <w:szCs w:val="24"/>
          <w:lang w:val="hu-HU" w:eastAsia="hu-HU"/>
        </w:rPr>
        <w:t>27</w:t>
      </w:r>
      <w:r w:rsidR="00CE6118" w:rsidRPr="005E477E">
        <w:rPr>
          <w:rFonts w:eastAsia="Times New Roman"/>
          <w:sz w:val="24"/>
          <w:szCs w:val="24"/>
          <w:lang w:val="hu-HU" w:eastAsia="hu-HU"/>
        </w:rPr>
        <w:t>(1), 20-55.</w:t>
      </w:r>
    </w:p>
    <w:p w14:paraId="297F3FB1" w14:textId="77777777" w:rsidR="00A11879" w:rsidRPr="005E477E" w:rsidRDefault="00A11879" w:rsidP="005E477E">
      <w:pPr>
        <w:spacing w:after="60" w:line="276" w:lineRule="auto"/>
        <w:ind w:left="720" w:hanging="720"/>
        <w:jc w:val="both"/>
        <w:rPr>
          <w:rFonts w:cstheme="minorHAnsi"/>
          <w:sz w:val="24"/>
          <w:szCs w:val="24"/>
        </w:rPr>
      </w:pPr>
      <w:proofErr w:type="spellStart"/>
      <w:r w:rsidRPr="005E477E">
        <w:rPr>
          <w:rFonts w:cstheme="minorHAnsi"/>
          <w:sz w:val="24"/>
          <w:szCs w:val="24"/>
        </w:rPr>
        <w:t>Kirzner</w:t>
      </w:r>
      <w:proofErr w:type="spellEnd"/>
      <w:r w:rsidRPr="005E477E">
        <w:rPr>
          <w:rFonts w:cstheme="minorHAnsi"/>
          <w:sz w:val="24"/>
          <w:szCs w:val="24"/>
        </w:rPr>
        <w:t>, I. M. (1973) competition &amp; Entrepreneurship. (Chicago: University of Chicago Press.</w:t>
      </w:r>
    </w:p>
    <w:p w14:paraId="11BB4072" w14:textId="77777777" w:rsidR="00A11879" w:rsidRPr="005E477E" w:rsidRDefault="00A11879" w:rsidP="005E477E">
      <w:pPr>
        <w:spacing w:after="60" w:line="276" w:lineRule="auto"/>
        <w:ind w:left="720" w:hanging="720"/>
        <w:jc w:val="both"/>
        <w:rPr>
          <w:rFonts w:cstheme="minorHAnsi"/>
          <w:sz w:val="24"/>
          <w:szCs w:val="24"/>
        </w:rPr>
      </w:pPr>
      <w:proofErr w:type="spellStart"/>
      <w:r w:rsidRPr="005E477E">
        <w:rPr>
          <w:rFonts w:cstheme="minorHAnsi"/>
          <w:sz w:val="24"/>
          <w:szCs w:val="24"/>
        </w:rPr>
        <w:t>Lafuente</w:t>
      </w:r>
      <w:proofErr w:type="spellEnd"/>
      <w:r w:rsidRPr="005E477E">
        <w:rPr>
          <w:rFonts w:cstheme="minorHAnsi"/>
          <w:sz w:val="24"/>
          <w:szCs w:val="24"/>
        </w:rPr>
        <w:t xml:space="preserve">, E., </w:t>
      </w:r>
      <w:proofErr w:type="spellStart"/>
      <w:r w:rsidRPr="005E477E">
        <w:rPr>
          <w:rFonts w:cstheme="minorHAnsi"/>
          <w:sz w:val="24"/>
          <w:szCs w:val="24"/>
        </w:rPr>
        <w:t>Szerb</w:t>
      </w:r>
      <w:proofErr w:type="spellEnd"/>
      <w:r w:rsidRPr="005E477E">
        <w:rPr>
          <w:rFonts w:cstheme="minorHAnsi"/>
          <w:sz w:val="24"/>
          <w:szCs w:val="24"/>
        </w:rPr>
        <w:t>, L., &amp; Acs, Z. J. (2015). Country level efficiency and national systems of entrepreneurship: a data envelopment analysis approach, Journal of Technology Transfer, doi:10.1007/s10961-015-9440-9.</w:t>
      </w:r>
    </w:p>
    <w:p w14:paraId="42E46027" w14:textId="4E498040" w:rsidR="00F635B3" w:rsidRPr="005E477E" w:rsidRDefault="00F635B3" w:rsidP="005E477E">
      <w:pPr>
        <w:spacing w:after="60" w:line="276" w:lineRule="auto"/>
        <w:jc w:val="both"/>
        <w:rPr>
          <w:rFonts w:eastAsia="Times New Roman"/>
          <w:sz w:val="24"/>
          <w:szCs w:val="24"/>
          <w:lang w:eastAsia="hu-HU"/>
        </w:rPr>
      </w:pPr>
      <w:r w:rsidRPr="005E477E">
        <w:rPr>
          <w:rFonts w:eastAsia="Times New Roman"/>
          <w:sz w:val="24"/>
          <w:szCs w:val="24"/>
          <w:lang w:eastAsia="hu-HU"/>
        </w:rPr>
        <w:t>La Porta, R., Lopez-de-</w:t>
      </w:r>
      <w:proofErr w:type="spellStart"/>
      <w:r w:rsidRPr="005E477E">
        <w:rPr>
          <w:rFonts w:eastAsia="Times New Roman"/>
          <w:sz w:val="24"/>
          <w:szCs w:val="24"/>
          <w:lang w:eastAsia="hu-HU"/>
        </w:rPr>
        <w:t>Silanes</w:t>
      </w:r>
      <w:proofErr w:type="spellEnd"/>
      <w:r w:rsidRPr="005E477E">
        <w:rPr>
          <w:rFonts w:eastAsia="Times New Roman"/>
          <w:sz w:val="24"/>
          <w:szCs w:val="24"/>
          <w:lang w:eastAsia="hu-HU"/>
        </w:rPr>
        <w:t xml:space="preserve">, F., Shleifer, A., </w:t>
      </w:r>
      <w:proofErr w:type="spellStart"/>
      <w:r w:rsidRPr="005E477E">
        <w:rPr>
          <w:rFonts w:eastAsia="Times New Roman"/>
          <w:sz w:val="24"/>
          <w:szCs w:val="24"/>
          <w:lang w:eastAsia="hu-HU"/>
        </w:rPr>
        <w:t>Vishny</w:t>
      </w:r>
      <w:proofErr w:type="spellEnd"/>
      <w:r w:rsidRPr="005E477E">
        <w:rPr>
          <w:rFonts w:eastAsia="Times New Roman"/>
          <w:sz w:val="24"/>
          <w:szCs w:val="24"/>
          <w:lang w:eastAsia="hu-HU"/>
        </w:rPr>
        <w:t xml:space="preserve">, R. (1999). The quality of </w:t>
      </w:r>
      <w:r w:rsidRPr="005E477E">
        <w:rPr>
          <w:rFonts w:eastAsia="Times New Roman"/>
          <w:sz w:val="24"/>
          <w:szCs w:val="24"/>
          <w:lang w:eastAsia="hu-HU"/>
        </w:rPr>
        <w:tab/>
        <w:t xml:space="preserve">government. </w:t>
      </w:r>
      <w:r w:rsidRPr="005E477E">
        <w:rPr>
          <w:rFonts w:eastAsia="Times New Roman"/>
          <w:i/>
          <w:iCs/>
          <w:sz w:val="24"/>
          <w:szCs w:val="24"/>
          <w:lang w:eastAsia="hu-HU"/>
        </w:rPr>
        <w:t>Journal of Law, Economics, and organization</w:t>
      </w:r>
      <w:r w:rsidRPr="005E477E">
        <w:rPr>
          <w:rFonts w:eastAsia="Times New Roman"/>
          <w:sz w:val="24"/>
          <w:szCs w:val="24"/>
          <w:lang w:eastAsia="hu-HU"/>
        </w:rPr>
        <w:t xml:space="preserve">, </w:t>
      </w:r>
      <w:r w:rsidRPr="005E477E">
        <w:rPr>
          <w:rFonts w:eastAsia="Times New Roman"/>
          <w:i/>
          <w:iCs/>
          <w:sz w:val="24"/>
          <w:szCs w:val="24"/>
          <w:lang w:eastAsia="hu-HU"/>
        </w:rPr>
        <w:t>15</w:t>
      </w:r>
      <w:r w:rsidRPr="005E477E">
        <w:rPr>
          <w:rFonts w:eastAsia="Times New Roman"/>
          <w:sz w:val="24"/>
          <w:szCs w:val="24"/>
          <w:lang w:eastAsia="hu-HU"/>
        </w:rPr>
        <w:t>(1), 222-279.</w:t>
      </w:r>
    </w:p>
    <w:p w14:paraId="407E5BDE" w14:textId="179242A4" w:rsidR="00EE6914" w:rsidRPr="005E477E" w:rsidRDefault="00EE6914" w:rsidP="005E477E">
      <w:pPr>
        <w:spacing w:after="60" w:line="276" w:lineRule="auto"/>
        <w:ind w:left="709" w:hanging="709"/>
        <w:jc w:val="both"/>
        <w:rPr>
          <w:sz w:val="24"/>
          <w:szCs w:val="24"/>
        </w:rPr>
      </w:pPr>
      <w:r w:rsidRPr="005E477E">
        <w:rPr>
          <w:sz w:val="24"/>
          <w:szCs w:val="24"/>
        </w:rPr>
        <w:lastRenderedPageBreak/>
        <w:t>Lee, N., Sameen, H., &amp;</w:t>
      </w:r>
      <w:proofErr w:type="spellStart"/>
      <w:r w:rsidRPr="005E477E">
        <w:rPr>
          <w:sz w:val="24"/>
          <w:szCs w:val="24"/>
        </w:rPr>
        <w:t>andCowling</w:t>
      </w:r>
      <w:proofErr w:type="spellEnd"/>
      <w:r w:rsidRPr="005E477E">
        <w:rPr>
          <w:sz w:val="24"/>
          <w:szCs w:val="24"/>
        </w:rPr>
        <w:t xml:space="preserve">, M. (2015). Access to finance for innovative SMEs since the financial crisis. </w:t>
      </w:r>
      <w:r w:rsidRPr="005E477E">
        <w:rPr>
          <w:i/>
          <w:iCs/>
          <w:sz w:val="24"/>
          <w:szCs w:val="24"/>
        </w:rPr>
        <w:t>Research Policy</w:t>
      </w:r>
      <w:r w:rsidRPr="005E477E">
        <w:rPr>
          <w:sz w:val="24"/>
          <w:szCs w:val="24"/>
        </w:rPr>
        <w:t xml:space="preserve">, </w:t>
      </w:r>
      <w:r w:rsidRPr="005E477E">
        <w:rPr>
          <w:i/>
          <w:iCs/>
          <w:sz w:val="24"/>
          <w:szCs w:val="24"/>
        </w:rPr>
        <w:t>44</w:t>
      </w:r>
      <w:r w:rsidRPr="005E477E">
        <w:rPr>
          <w:sz w:val="24"/>
          <w:szCs w:val="24"/>
        </w:rPr>
        <w:t>(2), 370-380.</w:t>
      </w:r>
    </w:p>
    <w:p w14:paraId="33D13BEE" w14:textId="23B071FB" w:rsidR="00092D27" w:rsidRPr="005E477E" w:rsidRDefault="00BA483F" w:rsidP="005E477E">
      <w:pPr>
        <w:autoSpaceDE w:val="0"/>
        <w:autoSpaceDN w:val="0"/>
        <w:adjustRightInd w:val="0"/>
        <w:spacing w:after="60" w:line="276" w:lineRule="auto"/>
        <w:ind w:left="709" w:hanging="709"/>
        <w:jc w:val="both"/>
        <w:rPr>
          <w:sz w:val="24"/>
          <w:szCs w:val="24"/>
        </w:rPr>
      </w:pPr>
      <w:r w:rsidRPr="005E477E">
        <w:rPr>
          <w:sz w:val="24"/>
          <w:szCs w:val="24"/>
          <w:lang w:val="hu-HU"/>
        </w:rPr>
        <w:t xml:space="preserve">Lerner, J. M. Sorensen, and P. Stromberg. (2011) Private Equity and Long-Run Investment: The Case of Innovation. </w:t>
      </w:r>
      <w:r w:rsidRPr="005E477E">
        <w:rPr>
          <w:i/>
          <w:sz w:val="24"/>
          <w:szCs w:val="24"/>
          <w:lang w:val="hu-HU"/>
        </w:rPr>
        <w:t xml:space="preserve">Journal of Finance, 66(2): </w:t>
      </w:r>
      <w:r w:rsidRPr="005E477E">
        <w:rPr>
          <w:sz w:val="24"/>
          <w:szCs w:val="24"/>
          <w:lang w:val="hu-HU"/>
        </w:rPr>
        <w:t>445-477.</w:t>
      </w:r>
      <w:r w:rsidRPr="005E477E">
        <w:rPr>
          <w:sz w:val="24"/>
          <w:szCs w:val="24"/>
        </w:rPr>
        <w:t xml:space="preserve"> </w:t>
      </w:r>
      <w:r w:rsidR="00092D27" w:rsidRPr="005E477E">
        <w:rPr>
          <w:sz w:val="24"/>
          <w:szCs w:val="24"/>
        </w:rPr>
        <w:t xml:space="preserve">Levine, R. (2005). Finance and growth: theory and evidence. </w:t>
      </w:r>
      <w:r w:rsidR="00092D27" w:rsidRPr="005E477E">
        <w:rPr>
          <w:i/>
          <w:iCs/>
          <w:sz w:val="24"/>
          <w:szCs w:val="24"/>
        </w:rPr>
        <w:t>Handbook of economic growth</w:t>
      </w:r>
      <w:r w:rsidR="00092D27" w:rsidRPr="005E477E">
        <w:rPr>
          <w:sz w:val="24"/>
          <w:szCs w:val="24"/>
        </w:rPr>
        <w:t xml:space="preserve">, </w:t>
      </w:r>
      <w:r w:rsidR="00092D27" w:rsidRPr="005E477E">
        <w:rPr>
          <w:i/>
          <w:iCs/>
          <w:sz w:val="24"/>
          <w:szCs w:val="24"/>
        </w:rPr>
        <w:t>1</w:t>
      </w:r>
      <w:r w:rsidR="00092D27" w:rsidRPr="005E477E">
        <w:rPr>
          <w:sz w:val="24"/>
          <w:szCs w:val="24"/>
        </w:rPr>
        <w:t>, 865-934.</w:t>
      </w:r>
    </w:p>
    <w:p w14:paraId="57A41268" w14:textId="5B12AF0F" w:rsidR="00A11879" w:rsidRPr="005E477E" w:rsidRDefault="00A11879" w:rsidP="005E477E">
      <w:pPr>
        <w:spacing w:after="60" w:line="276" w:lineRule="auto"/>
        <w:ind w:left="720" w:hanging="720"/>
        <w:jc w:val="both"/>
        <w:rPr>
          <w:rFonts w:cstheme="minorHAnsi"/>
          <w:sz w:val="24"/>
          <w:szCs w:val="24"/>
        </w:rPr>
      </w:pPr>
      <w:r w:rsidRPr="005E477E">
        <w:rPr>
          <w:rFonts w:cstheme="minorHAnsi"/>
          <w:sz w:val="24"/>
          <w:szCs w:val="24"/>
        </w:rPr>
        <w:t xml:space="preserve">Leyden, D. (2015), Public-Sector Entrepreneurship and the Creation of a Sustainable Innovative Economy, Small Business Economics (this Issue).  </w:t>
      </w:r>
      <w:r w:rsidRPr="005E477E">
        <w:rPr>
          <w:rFonts w:cstheme="minorHAnsi"/>
          <w:sz w:val="24"/>
          <w:szCs w:val="24"/>
        </w:rPr>
        <w:tab/>
      </w:r>
    </w:p>
    <w:p w14:paraId="67DDA865" w14:textId="77777777" w:rsidR="0078720A" w:rsidRPr="005E477E" w:rsidRDefault="0078720A" w:rsidP="005E477E">
      <w:pPr>
        <w:spacing w:after="60" w:line="276" w:lineRule="auto"/>
        <w:ind w:left="709" w:hanging="709"/>
        <w:jc w:val="both"/>
        <w:rPr>
          <w:sz w:val="24"/>
          <w:szCs w:val="24"/>
        </w:rPr>
      </w:pPr>
      <w:r w:rsidRPr="005E477E">
        <w:rPr>
          <w:sz w:val="24"/>
          <w:szCs w:val="24"/>
        </w:rPr>
        <w:t xml:space="preserve">Mach, T. L., &amp; </w:t>
      </w:r>
      <w:proofErr w:type="spellStart"/>
      <w:r w:rsidRPr="005E477E">
        <w:rPr>
          <w:sz w:val="24"/>
          <w:szCs w:val="24"/>
        </w:rPr>
        <w:t>Wolken</w:t>
      </w:r>
      <w:proofErr w:type="spellEnd"/>
      <w:r w:rsidRPr="005E477E">
        <w:rPr>
          <w:sz w:val="24"/>
          <w:szCs w:val="24"/>
        </w:rPr>
        <w:t xml:space="preserve">, J. D. (2012). </w:t>
      </w:r>
      <w:r w:rsidRPr="005E477E">
        <w:rPr>
          <w:i/>
          <w:iCs/>
          <w:sz w:val="24"/>
          <w:szCs w:val="24"/>
        </w:rPr>
        <w:t>Examining the impact of credit access on small firm survivability</w:t>
      </w:r>
      <w:r w:rsidRPr="005E477E">
        <w:rPr>
          <w:sz w:val="24"/>
          <w:szCs w:val="24"/>
        </w:rPr>
        <w:t xml:space="preserve"> (pp. 189-210). </w:t>
      </w:r>
      <w:proofErr w:type="spellStart"/>
      <w:r w:rsidRPr="005E477E">
        <w:rPr>
          <w:sz w:val="24"/>
          <w:szCs w:val="24"/>
        </w:rPr>
        <w:t>Physica-Verlag</w:t>
      </w:r>
      <w:proofErr w:type="spellEnd"/>
      <w:r w:rsidRPr="005E477E">
        <w:rPr>
          <w:sz w:val="24"/>
          <w:szCs w:val="24"/>
        </w:rPr>
        <w:t xml:space="preserve"> HD.</w:t>
      </w:r>
    </w:p>
    <w:p w14:paraId="755B1D45" w14:textId="09FC1577" w:rsidR="00F635B3" w:rsidRPr="005E477E" w:rsidRDefault="00F635B3" w:rsidP="005E477E">
      <w:pPr>
        <w:spacing w:after="60" w:line="276" w:lineRule="auto"/>
        <w:jc w:val="both"/>
        <w:rPr>
          <w:rFonts w:eastAsia="Times New Roman"/>
          <w:sz w:val="24"/>
          <w:szCs w:val="24"/>
          <w:lang w:eastAsia="hu-HU"/>
        </w:rPr>
      </w:pPr>
      <w:r w:rsidRPr="005E477E">
        <w:rPr>
          <w:rFonts w:eastAsia="Times New Roman"/>
          <w:sz w:val="24"/>
          <w:szCs w:val="24"/>
          <w:lang w:eastAsia="hu-HU"/>
        </w:rPr>
        <w:t xml:space="preserve">Mann, C. L., </w:t>
      </w:r>
      <w:proofErr w:type="spellStart"/>
      <w:r w:rsidRPr="005E477E">
        <w:rPr>
          <w:rFonts w:eastAsia="Times New Roman"/>
          <w:sz w:val="24"/>
          <w:szCs w:val="24"/>
          <w:lang w:eastAsia="hu-HU"/>
        </w:rPr>
        <w:t>Sanyal</w:t>
      </w:r>
      <w:proofErr w:type="spellEnd"/>
      <w:r w:rsidRPr="005E477E">
        <w:rPr>
          <w:rFonts w:eastAsia="Times New Roman"/>
          <w:sz w:val="24"/>
          <w:szCs w:val="24"/>
          <w:lang w:eastAsia="hu-HU"/>
        </w:rPr>
        <w:t xml:space="preserve">, P. (2010). The financial structure of </w:t>
      </w:r>
      <w:proofErr w:type="spellStart"/>
      <w:r w:rsidRPr="005E477E">
        <w:rPr>
          <w:rFonts w:eastAsia="Times New Roman"/>
          <w:sz w:val="24"/>
          <w:szCs w:val="24"/>
          <w:lang w:eastAsia="hu-HU"/>
        </w:rPr>
        <w:t>startup</w:t>
      </w:r>
      <w:proofErr w:type="spellEnd"/>
      <w:r w:rsidRPr="005E477E">
        <w:rPr>
          <w:rFonts w:eastAsia="Times New Roman"/>
          <w:sz w:val="24"/>
          <w:szCs w:val="24"/>
          <w:lang w:eastAsia="hu-HU"/>
        </w:rPr>
        <w:t xml:space="preserve"> firms: The role of assets, </w:t>
      </w:r>
      <w:r w:rsidRPr="005E477E">
        <w:rPr>
          <w:rFonts w:eastAsia="Times New Roman"/>
          <w:sz w:val="24"/>
          <w:szCs w:val="24"/>
          <w:lang w:eastAsia="hu-HU"/>
        </w:rPr>
        <w:tab/>
        <w:t>information, and entrepreneur characteristics.</w:t>
      </w:r>
      <w:r w:rsidRPr="005E477E">
        <w:rPr>
          <w:rFonts w:eastAsia="Times New Roman" w:cs="Courier New"/>
          <w:sz w:val="24"/>
          <w:szCs w:val="24"/>
          <w:lang w:eastAsia="hu-HU"/>
        </w:rPr>
        <w:t xml:space="preserve"> </w:t>
      </w:r>
      <w:r w:rsidRPr="005E477E">
        <w:rPr>
          <w:rFonts w:eastAsia="Times New Roman"/>
          <w:sz w:val="24"/>
          <w:szCs w:val="24"/>
          <w:lang w:eastAsia="hu-HU"/>
        </w:rPr>
        <w:t xml:space="preserve">Working paper series, Federal Reserve </w:t>
      </w:r>
      <w:r w:rsidRPr="005E477E">
        <w:rPr>
          <w:rFonts w:eastAsia="Times New Roman"/>
          <w:sz w:val="24"/>
          <w:szCs w:val="24"/>
          <w:lang w:eastAsia="hu-HU"/>
        </w:rPr>
        <w:tab/>
        <w:t>Bank of Boston, No. 10-17</w:t>
      </w:r>
    </w:p>
    <w:p w14:paraId="2DC37AA5" w14:textId="29DF4DAD" w:rsidR="006F6DA1" w:rsidRPr="005E477E" w:rsidRDefault="006F6DA1" w:rsidP="005E477E">
      <w:pPr>
        <w:spacing w:after="60" w:line="276" w:lineRule="auto"/>
        <w:ind w:left="720" w:hanging="720"/>
        <w:jc w:val="both"/>
        <w:rPr>
          <w:rFonts w:cstheme="minorHAnsi"/>
          <w:sz w:val="24"/>
          <w:szCs w:val="24"/>
        </w:rPr>
      </w:pPr>
      <w:r w:rsidRPr="005E477E">
        <w:rPr>
          <w:sz w:val="24"/>
          <w:szCs w:val="24"/>
          <w:lang w:val="hu-HU"/>
        </w:rPr>
        <w:t xml:space="preserve">Massolution (2015) </w:t>
      </w:r>
      <w:r w:rsidRPr="005E477E">
        <w:rPr>
          <w:i/>
          <w:sz w:val="24"/>
          <w:szCs w:val="24"/>
          <w:lang w:val="hu-HU"/>
        </w:rPr>
        <w:t>2015CF The Crowdfunding Industry Report</w:t>
      </w:r>
      <w:r w:rsidRPr="005E477E">
        <w:rPr>
          <w:sz w:val="24"/>
          <w:szCs w:val="24"/>
          <w:lang w:val="hu-HU"/>
        </w:rPr>
        <w:t>.</w:t>
      </w:r>
      <w:r w:rsidR="009B24CD" w:rsidRPr="005E477E">
        <w:rPr>
          <w:sz w:val="24"/>
          <w:szCs w:val="24"/>
          <w:lang w:val="hu-HU"/>
        </w:rPr>
        <w:t xml:space="preserve"> </w:t>
      </w:r>
      <w:r w:rsidRPr="005E477E">
        <w:rPr>
          <w:sz w:val="24"/>
          <w:szCs w:val="24"/>
          <w:lang w:val="hu-HU"/>
        </w:rPr>
        <w:t>Massolution.com</w:t>
      </w:r>
    </w:p>
    <w:p w14:paraId="4C62F413" w14:textId="77777777" w:rsidR="00A11879" w:rsidRPr="005E477E" w:rsidRDefault="00A11879" w:rsidP="005E477E">
      <w:pPr>
        <w:spacing w:after="60" w:line="276" w:lineRule="auto"/>
        <w:ind w:left="720" w:hanging="720"/>
        <w:jc w:val="both"/>
        <w:rPr>
          <w:rFonts w:cstheme="minorHAnsi"/>
          <w:sz w:val="24"/>
          <w:szCs w:val="24"/>
        </w:rPr>
      </w:pPr>
      <w:r w:rsidRPr="005E477E">
        <w:rPr>
          <w:rFonts w:cstheme="minorHAnsi"/>
          <w:sz w:val="24"/>
          <w:szCs w:val="24"/>
        </w:rPr>
        <w:t>McCann, P.  &amp; Ortega-</w:t>
      </w:r>
      <w:proofErr w:type="spellStart"/>
      <w:r w:rsidRPr="005E477E">
        <w:rPr>
          <w:rFonts w:cstheme="minorHAnsi"/>
          <w:sz w:val="24"/>
          <w:szCs w:val="24"/>
        </w:rPr>
        <w:t>Argilés</w:t>
      </w:r>
      <w:proofErr w:type="spellEnd"/>
      <w:r w:rsidRPr="005E477E">
        <w:rPr>
          <w:rFonts w:cstheme="minorHAnsi"/>
          <w:sz w:val="24"/>
          <w:szCs w:val="24"/>
        </w:rPr>
        <w:t>, R. (2015). Smart Specialization, Entrepreneurship and SMEs: Issues and Challenges for a Results-Oriented EU Regional Policy, Small Business Economics (in this Issue).</w:t>
      </w:r>
    </w:p>
    <w:p w14:paraId="0B3A6402" w14:textId="77777777" w:rsidR="00A11879" w:rsidRPr="005E477E" w:rsidRDefault="00A11879" w:rsidP="005E477E">
      <w:pPr>
        <w:spacing w:after="60" w:line="276" w:lineRule="auto"/>
        <w:ind w:left="720" w:hanging="720"/>
        <w:jc w:val="both"/>
        <w:rPr>
          <w:rFonts w:cstheme="minorHAnsi"/>
          <w:sz w:val="24"/>
          <w:szCs w:val="24"/>
        </w:rPr>
      </w:pPr>
      <w:proofErr w:type="spellStart"/>
      <w:r w:rsidRPr="005E477E">
        <w:rPr>
          <w:rFonts w:cstheme="minorHAnsi"/>
          <w:sz w:val="24"/>
          <w:szCs w:val="24"/>
        </w:rPr>
        <w:t>Minola</w:t>
      </w:r>
      <w:proofErr w:type="spellEnd"/>
      <w:r w:rsidRPr="005E477E">
        <w:rPr>
          <w:rFonts w:cstheme="minorHAnsi"/>
          <w:sz w:val="24"/>
          <w:szCs w:val="24"/>
        </w:rPr>
        <w:t xml:space="preserve">, T., </w:t>
      </w:r>
      <w:proofErr w:type="spellStart"/>
      <w:r w:rsidRPr="005E477E">
        <w:rPr>
          <w:rFonts w:cstheme="minorHAnsi"/>
          <w:sz w:val="24"/>
          <w:szCs w:val="24"/>
        </w:rPr>
        <w:t>Criaco</w:t>
      </w:r>
      <w:proofErr w:type="spellEnd"/>
      <w:r w:rsidRPr="005E477E">
        <w:rPr>
          <w:rFonts w:cstheme="minorHAnsi"/>
          <w:sz w:val="24"/>
          <w:szCs w:val="24"/>
        </w:rPr>
        <w:t xml:space="preserve">, G., &amp; </w:t>
      </w:r>
      <w:proofErr w:type="spellStart"/>
      <w:r w:rsidRPr="005E477E">
        <w:rPr>
          <w:rFonts w:cstheme="minorHAnsi"/>
          <w:sz w:val="24"/>
          <w:szCs w:val="24"/>
        </w:rPr>
        <w:t>Obschonka</w:t>
      </w:r>
      <w:proofErr w:type="spellEnd"/>
      <w:r w:rsidRPr="005E477E">
        <w:rPr>
          <w:rFonts w:cstheme="minorHAnsi"/>
          <w:sz w:val="24"/>
          <w:szCs w:val="24"/>
        </w:rPr>
        <w:t xml:space="preserve">, M. (2015). Age, culture, and self-employment motivation, </w:t>
      </w:r>
      <w:r w:rsidRPr="005E477E">
        <w:rPr>
          <w:rFonts w:cstheme="minorHAnsi"/>
          <w:i/>
          <w:sz w:val="24"/>
          <w:szCs w:val="24"/>
        </w:rPr>
        <w:t>Small Business Economics</w:t>
      </w:r>
      <w:r w:rsidRPr="005E477E">
        <w:rPr>
          <w:rFonts w:cstheme="minorHAnsi"/>
          <w:sz w:val="24"/>
          <w:szCs w:val="24"/>
        </w:rPr>
        <w:t xml:space="preserve">, </w:t>
      </w:r>
      <w:proofErr w:type="spellStart"/>
      <w:r w:rsidRPr="005E477E">
        <w:rPr>
          <w:rFonts w:cstheme="minorHAnsi"/>
          <w:sz w:val="24"/>
          <w:szCs w:val="24"/>
        </w:rPr>
        <w:t>doi</w:t>
      </w:r>
      <w:proofErr w:type="spellEnd"/>
      <w:r w:rsidRPr="005E477E">
        <w:rPr>
          <w:rFonts w:cstheme="minorHAnsi"/>
          <w:sz w:val="24"/>
          <w:szCs w:val="24"/>
        </w:rPr>
        <w:t>: 10.1007/s11187-015-9685-6</w:t>
      </w:r>
    </w:p>
    <w:p w14:paraId="733A659F" w14:textId="4EEB11D5" w:rsidR="002604AF" w:rsidRPr="005E477E" w:rsidRDefault="002604AF" w:rsidP="005E477E">
      <w:pPr>
        <w:spacing w:after="60" w:line="276" w:lineRule="auto"/>
        <w:ind w:left="709" w:hanging="709"/>
        <w:jc w:val="both"/>
        <w:rPr>
          <w:sz w:val="24"/>
          <w:szCs w:val="24"/>
        </w:rPr>
      </w:pPr>
      <w:proofErr w:type="spellStart"/>
      <w:r w:rsidRPr="005E477E">
        <w:rPr>
          <w:sz w:val="24"/>
          <w:szCs w:val="24"/>
        </w:rPr>
        <w:t>Mitter</w:t>
      </w:r>
      <w:proofErr w:type="spellEnd"/>
      <w:r w:rsidRPr="005E477E">
        <w:rPr>
          <w:sz w:val="24"/>
          <w:szCs w:val="24"/>
        </w:rPr>
        <w:t xml:space="preserve">, C., Kraus, S. (2011). Entrepreneurial finance–issues and evidence, revisited. </w:t>
      </w:r>
      <w:r w:rsidRPr="005E477E">
        <w:rPr>
          <w:i/>
          <w:iCs/>
          <w:sz w:val="24"/>
          <w:szCs w:val="24"/>
        </w:rPr>
        <w:t>International Journal of Entrepreneurship and Innovation Management</w:t>
      </w:r>
      <w:r w:rsidRPr="005E477E">
        <w:rPr>
          <w:sz w:val="24"/>
          <w:szCs w:val="24"/>
        </w:rPr>
        <w:t xml:space="preserve">, </w:t>
      </w:r>
      <w:r w:rsidRPr="005E477E">
        <w:rPr>
          <w:i/>
          <w:iCs/>
          <w:sz w:val="24"/>
          <w:szCs w:val="24"/>
        </w:rPr>
        <w:t>14</w:t>
      </w:r>
      <w:r w:rsidRPr="005E477E">
        <w:rPr>
          <w:sz w:val="24"/>
          <w:szCs w:val="24"/>
        </w:rPr>
        <w:t>(2-3), 132-150.</w:t>
      </w:r>
    </w:p>
    <w:p w14:paraId="54A7539A" w14:textId="323F202D" w:rsidR="00F635B3" w:rsidRPr="005E477E" w:rsidRDefault="00F635B3" w:rsidP="005E477E">
      <w:pPr>
        <w:spacing w:after="60" w:line="276" w:lineRule="auto"/>
        <w:jc w:val="both"/>
        <w:rPr>
          <w:rFonts w:eastAsia="Times New Roman"/>
          <w:sz w:val="24"/>
          <w:szCs w:val="24"/>
          <w:lang w:eastAsia="hu-HU"/>
        </w:rPr>
      </w:pPr>
      <w:proofErr w:type="spellStart"/>
      <w:r w:rsidRPr="005E477E">
        <w:rPr>
          <w:rFonts w:eastAsia="Times New Roman"/>
          <w:sz w:val="24"/>
          <w:szCs w:val="24"/>
          <w:lang w:eastAsia="hu-HU"/>
        </w:rPr>
        <w:t>Munk</w:t>
      </w:r>
      <w:proofErr w:type="spellEnd"/>
      <w:r w:rsidRPr="005E477E">
        <w:rPr>
          <w:rFonts w:eastAsia="Times New Roman"/>
          <w:sz w:val="24"/>
          <w:szCs w:val="24"/>
          <w:lang w:eastAsia="hu-HU"/>
        </w:rPr>
        <w:t xml:space="preserve">, K. J. (2008). Tax-tariff reform with costs of tax administration. </w:t>
      </w:r>
      <w:r w:rsidRPr="005E477E">
        <w:rPr>
          <w:rFonts w:eastAsia="Times New Roman"/>
          <w:i/>
          <w:iCs/>
          <w:sz w:val="24"/>
          <w:szCs w:val="24"/>
          <w:lang w:eastAsia="hu-HU"/>
        </w:rPr>
        <w:t xml:space="preserve">International Tax and </w:t>
      </w:r>
      <w:r w:rsidRPr="005E477E">
        <w:rPr>
          <w:rFonts w:eastAsia="Times New Roman"/>
          <w:i/>
          <w:iCs/>
          <w:sz w:val="24"/>
          <w:szCs w:val="24"/>
          <w:lang w:eastAsia="hu-HU"/>
        </w:rPr>
        <w:tab/>
        <w:t>Public Finance</w:t>
      </w:r>
      <w:r w:rsidRPr="005E477E">
        <w:rPr>
          <w:rFonts w:eastAsia="Times New Roman"/>
          <w:sz w:val="24"/>
          <w:szCs w:val="24"/>
          <w:lang w:eastAsia="hu-HU"/>
        </w:rPr>
        <w:t xml:space="preserve">, </w:t>
      </w:r>
      <w:r w:rsidRPr="005E477E">
        <w:rPr>
          <w:rFonts w:eastAsia="Times New Roman"/>
          <w:i/>
          <w:iCs/>
          <w:sz w:val="24"/>
          <w:szCs w:val="24"/>
          <w:lang w:eastAsia="hu-HU"/>
        </w:rPr>
        <w:t>15</w:t>
      </w:r>
      <w:r w:rsidRPr="005E477E">
        <w:rPr>
          <w:rFonts w:eastAsia="Times New Roman"/>
          <w:sz w:val="24"/>
          <w:szCs w:val="24"/>
          <w:lang w:eastAsia="hu-HU"/>
        </w:rPr>
        <w:t>(6), 647-667.</w:t>
      </w:r>
    </w:p>
    <w:p w14:paraId="5A1B51CE" w14:textId="22597767" w:rsidR="00A11879" w:rsidRPr="005E477E" w:rsidRDefault="002604AF" w:rsidP="005E477E">
      <w:pPr>
        <w:spacing w:after="60" w:line="276" w:lineRule="auto"/>
        <w:ind w:left="720" w:hanging="720"/>
        <w:jc w:val="both"/>
        <w:rPr>
          <w:rFonts w:cstheme="minorHAnsi"/>
          <w:sz w:val="24"/>
          <w:szCs w:val="24"/>
        </w:rPr>
      </w:pPr>
      <w:r w:rsidRPr="005E477E">
        <w:rPr>
          <w:rFonts w:cstheme="minorHAnsi"/>
          <w:sz w:val="24"/>
          <w:szCs w:val="24"/>
        </w:rPr>
        <w:t xml:space="preserve"> </w:t>
      </w:r>
      <w:r w:rsidR="00A11879" w:rsidRPr="005E477E">
        <w:rPr>
          <w:rFonts w:cstheme="minorHAnsi"/>
          <w:sz w:val="24"/>
          <w:szCs w:val="24"/>
        </w:rPr>
        <w:t>Nelson, R.R. (1993) National Systems of Innovation</w:t>
      </w:r>
      <w:r w:rsidR="00A11879" w:rsidRPr="005E477E">
        <w:rPr>
          <w:bCs/>
          <w:sz w:val="24"/>
          <w:szCs w:val="24"/>
        </w:rPr>
        <w:t>: A Comparative Analysis, (Oxford: Oxford University Press,</w:t>
      </w:r>
    </w:p>
    <w:p w14:paraId="22F11C78" w14:textId="25749DBE" w:rsidR="000E060D" w:rsidRPr="005E477E" w:rsidRDefault="000E060D" w:rsidP="005E477E">
      <w:pPr>
        <w:spacing w:after="60" w:line="276" w:lineRule="auto"/>
        <w:ind w:left="709" w:hanging="709"/>
        <w:jc w:val="both"/>
        <w:rPr>
          <w:rFonts w:eastAsia="Times New Roman"/>
          <w:sz w:val="24"/>
          <w:szCs w:val="24"/>
          <w:lang w:val="hu-HU" w:eastAsia="hu-HU"/>
        </w:rPr>
      </w:pPr>
      <w:r w:rsidRPr="005E477E">
        <w:rPr>
          <w:rFonts w:eastAsia="Times New Roman"/>
          <w:sz w:val="24"/>
          <w:szCs w:val="24"/>
          <w:lang w:val="hu-HU" w:eastAsia="hu-HU"/>
        </w:rPr>
        <w:t xml:space="preserve">Nofsinger, J. R., and Wang, W. (2011). Determinants of start-up firm external financing worldwide. </w:t>
      </w:r>
      <w:r w:rsidRPr="005E477E">
        <w:rPr>
          <w:rFonts w:eastAsia="Times New Roman"/>
          <w:i/>
          <w:iCs/>
          <w:sz w:val="24"/>
          <w:szCs w:val="24"/>
          <w:lang w:val="hu-HU" w:eastAsia="hu-HU"/>
        </w:rPr>
        <w:t>Journal of Banking &amp; Finance</w:t>
      </w:r>
      <w:r w:rsidRPr="005E477E">
        <w:rPr>
          <w:rFonts w:eastAsia="Times New Roman"/>
          <w:sz w:val="24"/>
          <w:szCs w:val="24"/>
          <w:lang w:val="hu-HU" w:eastAsia="hu-HU"/>
        </w:rPr>
        <w:t xml:space="preserve">, </w:t>
      </w:r>
      <w:r w:rsidRPr="005E477E">
        <w:rPr>
          <w:rFonts w:eastAsia="Times New Roman"/>
          <w:i/>
          <w:iCs/>
          <w:sz w:val="24"/>
          <w:szCs w:val="24"/>
          <w:lang w:val="hu-HU" w:eastAsia="hu-HU"/>
        </w:rPr>
        <w:t>35</w:t>
      </w:r>
      <w:r w:rsidRPr="005E477E">
        <w:rPr>
          <w:rFonts w:eastAsia="Times New Roman"/>
          <w:sz w:val="24"/>
          <w:szCs w:val="24"/>
          <w:lang w:val="hu-HU" w:eastAsia="hu-HU"/>
        </w:rPr>
        <w:t>(9), 2282-2294.</w:t>
      </w:r>
    </w:p>
    <w:p w14:paraId="3BE2FE42" w14:textId="30CBDCDC" w:rsidR="001B374C" w:rsidRPr="005E477E" w:rsidRDefault="001B374C" w:rsidP="005E477E">
      <w:pPr>
        <w:pStyle w:val="GEDIbooktablefigure"/>
        <w:spacing w:after="60" w:line="276" w:lineRule="auto"/>
        <w:ind w:left="709" w:hanging="709"/>
        <w:jc w:val="both"/>
        <w:rPr>
          <w:rFonts w:ascii="Calibri" w:hAnsi="Calibri"/>
          <w:b w:val="0"/>
        </w:rPr>
      </w:pPr>
      <w:r w:rsidRPr="005E477E">
        <w:rPr>
          <w:rFonts w:ascii="Calibri" w:hAnsi="Calibri"/>
          <w:b w:val="0"/>
        </w:rPr>
        <w:t xml:space="preserve">North, D. C. (1990). </w:t>
      </w:r>
      <w:r w:rsidRPr="005E477E">
        <w:rPr>
          <w:rFonts w:ascii="Calibri" w:hAnsi="Calibri"/>
          <w:b w:val="0"/>
          <w:i/>
        </w:rPr>
        <w:t>Institutions. Institutional change and economic performance</w:t>
      </w:r>
      <w:r w:rsidRPr="005E477E">
        <w:rPr>
          <w:rFonts w:ascii="Calibri" w:hAnsi="Calibri"/>
          <w:b w:val="0"/>
        </w:rPr>
        <w:t>, Cambridge:  Cambridge University Press.</w:t>
      </w:r>
    </w:p>
    <w:p w14:paraId="14C35EBE" w14:textId="10CD2694" w:rsidR="00C970BD" w:rsidRPr="005E477E" w:rsidRDefault="00C970BD" w:rsidP="005E477E">
      <w:pPr>
        <w:spacing w:after="60" w:line="276" w:lineRule="auto"/>
        <w:ind w:left="709" w:hanging="709"/>
        <w:jc w:val="both"/>
        <w:rPr>
          <w:sz w:val="24"/>
          <w:szCs w:val="24"/>
        </w:rPr>
      </w:pPr>
      <w:proofErr w:type="spellStart"/>
      <w:r w:rsidRPr="005E477E">
        <w:rPr>
          <w:sz w:val="24"/>
          <w:szCs w:val="24"/>
        </w:rPr>
        <w:t>Ordanini</w:t>
      </w:r>
      <w:proofErr w:type="spellEnd"/>
      <w:r w:rsidRPr="005E477E">
        <w:rPr>
          <w:sz w:val="24"/>
          <w:szCs w:val="24"/>
        </w:rPr>
        <w:t xml:space="preserve">, A., </w:t>
      </w:r>
      <w:proofErr w:type="spellStart"/>
      <w:r w:rsidRPr="005E477E">
        <w:rPr>
          <w:sz w:val="24"/>
          <w:szCs w:val="24"/>
        </w:rPr>
        <w:t>Miceli</w:t>
      </w:r>
      <w:proofErr w:type="spellEnd"/>
      <w:r w:rsidRPr="005E477E">
        <w:rPr>
          <w:sz w:val="24"/>
          <w:szCs w:val="24"/>
        </w:rPr>
        <w:t xml:space="preserve">, L., </w:t>
      </w:r>
      <w:proofErr w:type="spellStart"/>
      <w:r w:rsidRPr="005E477E">
        <w:rPr>
          <w:sz w:val="24"/>
          <w:szCs w:val="24"/>
        </w:rPr>
        <w:t>Pizzetti</w:t>
      </w:r>
      <w:proofErr w:type="spellEnd"/>
      <w:r w:rsidRPr="005E477E">
        <w:rPr>
          <w:sz w:val="24"/>
          <w:szCs w:val="24"/>
        </w:rPr>
        <w:t xml:space="preserve">, M., </w:t>
      </w:r>
      <w:proofErr w:type="spellStart"/>
      <w:r w:rsidRPr="005E477E">
        <w:rPr>
          <w:sz w:val="24"/>
          <w:szCs w:val="24"/>
        </w:rPr>
        <w:t>Parasuraman</w:t>
      </w:r>
      <w:proofErr w:type="spellEnd"/>
      <w:r w:rsidRPr="005E477E">
        <w:rPr>
          <w:sz w:val="24"/>
          <w:szCs w:val="24"/>
        </w:rPr>
        <w:t xml:space="preserve">, A. (2011). Crowd-funding: transforming customers into investors through innovative service platforms. </w:t>
      </w:r>
      <w:r w:rsidRPr="005E477E">
        <w:rPr>
          <w:i/>
          <w:iCs/>
          <w:sz w:val="24"/>
          <w:szCs w:val="24"/>
        </w:rPr>
        <w:t>Journal of service management</w:t>
      </w:r>
      <w:r w:rsidRPr="005E477E">
        <w:rPr>
          <w:sz w:val="24"/>
          <w:szCs w:val="24"/>
        </w:rPr>
        <w:t xml:space="preserve">, </w:t>
      </w:r>
      <w:r w:rsidRPr="005E477E">
        <w:rPr>
          <w:i/>
          <w:iCs/>
          <w:sz w:val="24"/>
          <w:szCs w:val="24"/>
        </w:rPr>
        <w:t>22</w:t>
      </w:r>
      <w:r w:rsidRPr="005E477E">
        <w:rPr>
          <w:sz w:val="24"/>
          <w:szCs w:val="24"/>
        </w:rPr>
        <w:t>(4), 443-470.</w:t>
      </w:r>
    </w:p>
    <w:p w14:paraId="26127537" w14:textId="77777777" w:rsidR="00F635B3" w:rsidRPr="005E477E" w:rsidRDefault="00F635B3" w:rsidP="005E477E">
      <w:pPr>
        <w:spacing w:after="60" w:line="276" w:lineRule="auto"/>
        <w:jc w:val="both"/>
        <w:rPr>
          <w:rFonts w:cs="ITCCharterCom-Italic"/>
          <w:i/>
          <w:iCs/>
          <w:sz w:val="24"/>
          <w:szCs w:val="24"/>
        </w:rPr>
      </w:pPr>
      <w:r w:rsidRPr="005E477E">
        <w:rPr>
          <w:i/>
          <w:iCs/>
          <w:sz w:val="24"/>
          <w:szCs w:val="24"/>
        </w:rPr>
        <w:t xml:space="preserve">Paying Taxes (2016) APWC and World Bank report, </w:t>
      </w:r>
      <w:r w:rsidRPr="005E477E">
        <w:rPr>
          <w:sz w:val="24"/>
          <w:szCs w:val="24"/>
        </w:rPr>
        <w:t xml:space="preserve"> 10th Edition, </w:t>
      </w:r>
      <w:hyperlink r:id="rId14" w:history="1">
        <w:r w:rsidRPr="005E477E">
          <w:rPr>
            <w:rStyle w:val="Hyperlink"/>
            <w:rFonts w:cs="ITCCharterCom-Italic"/>
            <w:i/>
            <w:iCs/>
            <w:sz w:val="24"/>
            <w:szCs w:val="24"/>
          </w:rPr>
          <w:t>www.pwc.com/payingtaxes</w:t>
        </w:r>
      </w:hyperlink>
    </w:p>
    <w:p w14:paraId="651E24B3" w14:textId="44BD83C3" w:rsidR="00A11879" w:rsidRPr="005E477E" w:rsidRDefault="00A11879" w:rsidP="005E477E">
      <w:pPr>
        <w:spacing w:after="60" w:line="276" w:lineRule="auto"/>
        <w:ind w:left="720" w:hanging="720"/>
        <w:jc w:val="both"/>
        <w:rPr>
          <w:rFonts w:cstheme="minorHAnsi"/>
          <w:sz w:val="24"/>
          <w:szCs w:val="24"/>
        </w:rPr>
      </w:pPr>
      <w:proofErr w:type="spellStart"/>
      <w:r w:rsidRPr="005E477E">
        <w:rPr>
          <w:rFonts w:cstheme="minorHAnsi"/>
          <w:sz w:val="24"/>
          <w:szCs w:val="24"/>
        </w:rPr>
        <w:t>Peroni</w:t>
      </w:r>
      <w:proofErr w:type="spellEnd"/>
      <w:r w:rsidRPr="005E477E">
        <w:rPr>
          <w:rFonts w:cstheme="minorHAnsi"/>
          <w:sz w:val="24"/>
          <w:szCs w:val="24"/>
        </w:rPr>
        <w:t xml:space="preserve">, C. &amp; </w:t>
      </w:r>
      <w:proofErr w:type="spellStart"/>
      <w:r w:rsidRPr="005E477E">
        <w:rPr>
          <w:rFonts w:cstheme="minorHAnsi"/>
          <w:sz w:val="24"/>
          <w:szCs w:val="24"/>
        </w:rPr>
        <w:t>Rillo</w:t>
      </w:r>
      <w:proofErr w:type="spellEnd"/>
      <w:r w:rsidRPr="005E477E">
        <w:rPr>
          <w:rFonts w:cstheme="minorHAnsi"/>
          <w:sz w:val="24"/>
          <w:szCs w:val="24"/>
        </w:rPr>
        <w:t>, S. (2015).</w:t>
      </w:r>
      <w:r w:rsidRPr="005E477E">
        <w:rPr>
          <w:sz w:val="24"/>
          <w:szCs w:val="24"/>
        </w:rPr>
        <w:t xml:space="preserve"> </w:t>
      </w:r>
      <w:r w:rsidRPr="005E477E">
        <w:rPr>
          <w:rFonts w:cstheme="minorHAnsi"/>
          <w:sz w:val="24"/>
          <w:szCs w:val="24"/>
        </w:rPr>
        <w:t>Entrepreneurship and immigration: evidence from GEM Luxembourg, Small Business Economics (in this Issue).</w:t>
      </w:r>
    </w:p>
    <w:p w14:paraId="09761B00" w14:textId="77777777" w:rsidR="00BB280B" w:rsidRPr="005E477E" w:rsidRDefault="00BB280B" w:rsidP="005E477E">
      <w:pPr>
        <w:spacing w:after="60" w:line="276" w:lineRule="auto"/>
        <w:ind w:left="709" w:hanging="709"/>
        <w:jc w:val="both"/>
        <w:rPr>
          <w:rFonts w:eastAsia="Times New Roman"/>
          <w:sz w:val="24"/>
          <w:szCs w:val="24"/>
          <w:lang w:val="hu-HU" w:eastAsia="hu-HU"/>
        </w:rPr>
      </w:pPr>
      <w:r w:rsidRPr="005E477E">
        <w:rPr>
          <w:rFonts w:eastAsia="Times New Roman"/>
          <w:sz w:val="24"/>
          <w:szCs w:val="24"/>
          <w:lang w:val="hu-HU" w:eastAsia="hu-HU"/>
        </w:rPr>
        <w:t xml:space="preserve">Politis, D. (2008). Business angels and value added: what do we know and where do we go?. </w:t>
      </w:r>
      <w:r w:rsidRPr="005E477E">
        <w:rPr>
          <w:rFonts w:eastAsia="Times New Roman"/>
          <w:i/>
          <w:iCs/>
          <w:sz w:val="24"/>
          <w:szCs w:val="24"/>
          <w:lang w:val="hu-HU" w:eastAsia="hu-HU"/>
        </w:rPr>
        <w:t>Venture Capital</w:t>
      </w:r>
      <w:r w:rsidRPr="005E477E">
        <w:rPr>
          <w:rFonts w:eastAsia="Times New Roman"/>
          <w:sz w:val="24"/>
          <w:szCs w:val="24"/>
          <w:lang w:val="hu-HU" w:eastAsia="hu-HU"/>
        </w:rPr>
        <w:t xml:space="preserve">, </w:t>
      </w:r>
      <w:r w:rsidRPr="005E477E">
        <w:rPr>
          <w:rFonts w:eastAsia="Times New Roman"/>
          <w:i/>
          <w:iCs/>
          <w:sz w:val="24"/>
          <w:szCs w:val="24"/>
          <w:lang w:val="hu-HU" w:eastAsia="hu-HU"/>
        </w:rPr>
        <w:t>10</w:t>
      </w:r>
      <w:r w:rsidRPr="005E477E">
        <w:rPr>
          <w:rFonts w:eastAsia="Times New Roman"/>
          <w:sz w:val="24"/>
          <w:szCs w:val="24"/>
          <w:lang w:val="hu-HU" w:eastAsia="hu-HU"/>
        </w:rPr>
        <w:t>(2), 127-147.</w:t>
      </w:r>
    </w:p>
    <w:p w14:paraId="5072D133" w14:textId="77777777" w:rsidR="00A11879" w:rsidRPr="005E477E" w:rsidRDefault="00A11879" w:rsidP="005E477E">
      <w:pPr>
        <w:spacing w:after="60" w:line="276" w:lineRule="auto"/>
        <w:ind w:left="720" w:hanging="720"/>
        <w:jc w:val="both"/>
        <w:rPr>
          <w:rFonts w:cstheme="minorHAnsi"/>
          <w:sz w:val="24"/>
          <w:szCs w:val="24"/>
        </w:rPr>
      </w:pPr>
      <w:r w:rsidRPr="005E477E">
        <w:rPr>
          <w:rFonts w:cstheme="minorHAnsi"/>
          <w:sz w:val="24"/>
          <w:szCs w:val="24"/>
        </w:rPr>
        <w:lastRenderedPageBreak/>
        <w:t>Porter, M. (1990) The Competitive Advantage of Nations. (Cambridge: Harvard University Press).</w:t>
      </w:r>
    </w:p>
    <w:p w14:paraId="139460B2" w14:textId="16802E62" w:rsidR="00847B1C" w:rsidRPr="005E477E" w:rsidRDefault="00847B1C" w:rsidP="005E477E">
      <w:pPr>
        <w:spacing w:after="60" w:line="276" w:lineRule="auto"/>
        <w:ind w:left="709" w:hanging="709"/>
        <w:jc w:val="both"/>
        <w:rPr>
          <w:sz w:val="24"/>
          <w:szCs w:val="24"/>
        </w:rPr>
      </w:pPr>
      <w:r w:rsidRPr="005E477E">
        <w:rPr>
          <w:sz w:val="24"/>
          <w:szCs w:val="24"/>
        </w:rPr>
        <w:t xml:space="preserve">Robb, A. M., Robinson, D. T. (2012). The capital structure decisions of new firms. </w:t>
      </w:r>
      <w:r w:rsidRPr="005E477E">
        <w:rPr>
          <w:i/>
          <w:iCs/>
          <w:sz w:val="24"/>
          <w:szCs w:val="24"/>
        </w:rPr>
        <w:t>Review of Financial Studies</w:t>
      </w:r>
      <w:r w:rsidRPr="005E477E">
        <w:rPr>
          <w:sz w:val="24"/>
          <w:szCs w:val="24"/>
        </w:rPr>
        <w:t>, forthcoming</w:t>
      </w:r>
    </w:p>
    <w:p w14:paraId="5FD07A20" w14:textId="10699FB3" w:rsidR="00A11879" w:rsidRPr="005E477E" w:rsidRDefault="00A11879" w:rsidP="005E477E">
      <w:pPr>
        <w:spacing w:after="60" w:line="276" w:lineRule="auto"/>
        <w:ind w:left="720" w:hanging="720"/>
        <w:jc w:val="both"/>
        <w:rPr>
          <w:rFonts w:cstheme="minorHAnsi"/>
          <w:sz w:val="24"/>
          <w:szCs w:val="24"/>
        </w:rPr>
      </w:pPr>
      <w:r w:rsidRPr="005E477E">
        <w:rPr>
          <w:rFonts w:cstheme="minorHAnsi"/>
          <w:sz w:val="24"/>
          <w:szCs w:val="24"/>
        </w:rPr>
        <w:t xml:space="preserve">Roberts, P. (2004), The Modern Firm, New York: Oxford University Press. </w:t>
      </w:r>
    </w:p>
    <w:p w14:paraId="5BEA0D57" w14:textId="77777777" w:rsidR="00A11879" w:rsidRPr="005E477E" w:rsidRDefault="00A11879" w:rsidP="005E477E">
      <w:pPr>
        <w:spacing w:after="60" w:line="276" w:lineRule="auto"/>
        <w:jc w:val="both"/>
        <w:rPr>
          <w:bCs/>
          <w:sz w:val="24"/>
          <w:szCs w:val="24"/>
        </w:rPr>
      </w:pPr>
      <w:r w:rsidRPr="005E477E">
        <w:rPr>
          <w:bCs/>
          <w:sz w:val="24"/>
          <w:szCs w:val="24"/>
        </w:rPr>
        <w:t xml:space="preserve">Rosenberg, N &amp; and Nelson, R. 1993. Technical Innovation and National Systems, in R.R. </w:t>
      </w:r>
      <w:r w:rsidRPr="005E477E">
        <w:rPr>
          <w:bCs/>
          <w:sz w:val="24"/>
          <w:szCs w:val="24"/>
        </w:rPr>
        <w:tab/>
        <w:t xml:space="preserve">Nelson, National Innovation Systems: A Comparative Analysis, (Oxford: Oxford </w:t>
      </w:r>
      <w:r w:rsidRPr="005E477E">
        <w:rPr>
          <w:bCs/>
          <w:sz w:val="24"/>
          <w:szCs w:val="24"/>
        </w:rPr>
        <w:tab/>
        <w:t>University Press) pp 3-22.</w:t>
      </w:r>
    </w:p>
    <w:p w14:paraId="6254C90D" w14:textId="69B1EDF5" w:rsidR="007D0185" w:rsidRPr="005E477E" w:rsidRDefault="007D0185" w:rsidP="005E477E">
      <w:pPr>
        <w:pStyle w:val="NoSpacing"/>
        <w:spacing w:after="60" w:line="276" w:lineRule="auto"/>
        <w:jc w:val="both"/>
        <w:rPr>
          <w:sz w:val="24"/>
          <w:szCs w:val="24"/>
          <w:lang w:val="en-US"/>
        </w:rPr>
      </w:pPr>
      <w:proofErr w:type="spellStart"/>
      <w:r w:rsidRPr="005E477E">
        <w:rPr>
          <w:sz w:val="24"/>
          <w:szCs w:val="24"/>
          <w:lang w:val="en-US"/>
        </w:rPr>
        <w:t>Román</w:t>
      </w:r>
      <w:proofErr w:type="spellEnd"/>
      <w:r w:rsidRPr="005E477E">
        <w:rPr>
          <w:sz w:val="24"/>
          <w:szCs w:val="24"/>
          <w:lang w:val="en-US"/>
        </w:rPr>
        <w:t xml:space="preserve">, C., </w:t>
      </w:r>
      <w:proofErr w:type="spellStart"/>
      <w:r w:rsidRPr="005E477E">
        <w:rPr>
          <w:sz w:val="24"/>
          <w:szCs w:val="24"/>
          <w:lang w:val="en-US"/>
        </w:rPr>
        <w:t>Congregado</w:t>
      </w:r>
      <w:proofErr w:type="spellEnd"/>
      <w:r w:rsidRPr="005E477E">
        <w:rPr>
          <w:sz w:val="24"/>
          <w:szCs w:val="24"/>
          <w:lang w:val="en-US"/>
        </w:rPr>
        <w:t xml:space="preserve">, E., </w:t>
      </w:r>
      <w:proofErr w:type="spellStart"/>
      <w:r w:rsidRPr="005E477E">
        <w:rPr>
          <w:sz w:val="24"/>
          <w:szCs w:val="24"/>
          <w:lang w:val="en-US"/>
        </w:rPr>
        <w:t>Millán</w:t>
      </w:r>
      <w:proofErr w:type="spellEnd"/>
      <w:r w:rsidRPr="005E477E">
        <w:rPr>
          <w:sz w:val="24"/>
          <w:szCs w:val="24"/>
          <w:lang w:val="en-US"/>
        </w:rPr>
        <w:t xml:space="preserve">, J.M. Start-up incentives: Entrepreneurship policy or </w:t>
      </w:r>
      <w:r w:rsidRPr="005E477E">
        <w:rPr>
          <w:sz w:val="24"/>
          <w:szCs w:val="24"/>
          <w:lang w:val="en-US"/>
        </w:rPr>
        <w:tab/>
        <w:t xml:space="preserve">active </w:t>
      </w:r>
      <w:proofErr w:type="spellStart"/>
      <w:r w:rsidRPr="005E477E">
        <w:rPr>
          <w:sz w:val="24"/>
          <w:szCs w:val="24"/>
          <w:lang w:val="en-US"/>
        </w:rPr>
        <w:t>labour</w:t>
      </w:r>
      <w:proofErr w:type="spellEnd"/>
      <w:r w:rsidRPr="005E477E">
        <w:rPr>
          <w:sz w:val="24"/>
          <w:szCs w:val="24"/>
          <w:lang w:val="en-US"/>
        </w:rPr>
        <w:t xml:space="preserve"> market </w:t>
      </w:r>
      <w:proofErr w:type="spellStart"/>
      <w:r w:rsidRPr="005E477E">
        <w:rPr>
          <w:sz w:val="24"/>
          <w:szCs w:val="24"/>
          <w:lang w:val="en-US"/>
        </w:rPr>
        <w:t>programme</w:t>
      </w:r>
      <w:proofErr w:type="spellEnd"/>
      <w:r w:rsidRPr="005E477E">
        <w:rPr>
          <w:sz w:val="24"/>
          <w:szCs w:val="24"/>
          <w:lang w:val="en-US"/>
        </w:rPr>
        <w:t>? Journal of Business Venturing 28 (2013) 151–175</w:t>
      </w:r>
    </w:p>
    <w:p w14:paraId="504D01B0" w14:textId="292C02B2" w:rsidR="00A06F38" w:rsidRPr="005E477E" w:rsidRDefault="00A11879" w:rsidP="005E477E">
      <w:pPr>
        <w:spacing w:after="60" w:line="276" w:lineRule="auto"/>
        <w:ind w:left="720" w:hanging="720"/>
        <w:jc w:val="both"/>
        <w:rPr>
          <w:rFonts w:cstheme="minorHAnsi"/>
          <w:sz w:val="24"/>
          <w:szCs w:val="24"/>
        </w:rPr>
      </w:pPr>
      <w:proofErr w:type="spellStart"/>
      <w:r w:rsidRPr="005E477E">
        <w:rPr>
          <w:rFonts w:cstheme="minorHAnsi"/>
          <w:sz w:val="24"/>
          <w:szCs w:val="24"/>
        </w:rPr>
        <w:t>Schillo</w:t>
      </w:r>
      <w:proofErr w:type="spellEnd"/>
      <w:r w:rsidRPr="005E477E">
        <w:rPr>
          <w:rFonts w:cstheme="minorHAnsi"/>
          <w:sz w:val="24"/>
          <w:szCs w:val="24"/>
        </w:rPr>
        <w:t xml:space="preserve">, S. &amp; </w:t>
      </w:r>
      <w:proofErr w:type="spellStart"/>
      <w:r w:rsidRPr="005E477E">
        <w:rPr>
          <w:rFonts w:cstheme="minorHAnsi"/>
          <w:sz w:val="24"/>
          <w:szCs w:val="24"/>
        </w:rPr>
        <w:t>Persaud</w:t>
      </w:r>
      <w:proofErr w:type="spellEnd"/>
      <w:r w:rsidRPr="005E477E">
        <w:rPr>
          <w:rFonts w:cstheme="minorHAnsi"/>
          <w:sz w:val="24"/>
          <w:szCs w:val="24"/>
        </w:rPr>
        <w:t>, J. (2015). Entrepreneurial readiness in the context of national systems of entrepreneurship, Small Busi</w:t>
      </w:r>
      <w:r w:rsidR="00FF36E7" w:rsidRPr="005E477E">
        <w:rPr>
          <w:rFonts w:cstheme="minorHAnsi"/>
          <w:sz w:val="24"/>
          <w:szCs w:val="24"/>
        </w:rPr>
        <w:t>ness Economics (in this Issue).</w:t>
      </w:r>
    </w:p>
    <w:p w14:paraId="6D3847B2" w14:textId="205BD826" w:rsidR="00F635B3" w:rsidRPr="005E477E" w:rsidRDefault="00F635B3" w:rsidP="005E477E">
      <w:pPr>
        <w:spacing w:after="60" w:line="276" w:lineRule="auto"/>
        <w:jc w:val="both"/>
        <w:rPr>
          <w:rFonts w:eastAsia="Times New Roman"/>
          <w:sz w:val="24"/>
          <w:szCs w:val="24"/>
          <w:lang w:eastAsia="hu-HU"/>
        </w:rPr>
      </w:pPr>
      <w:r w:rsidRPr="005E477E">
        <w:rPr>
          <w:rFonts w:eastAsia="Times New Roman"/>
          <w:sz w:val="24"/>
          <w:szCs w:val="24"/>
          <w:lang w:eastAsia="hu-HU"/>
        </w:rPr>
        <w:t xml:space="preserve">Schneider, F., &amp; </w:t>
      </w:r>
      <w:proofErr w:type="spellStart"/>
      <w:r w:rsidRPr="005E477E">
        <w:rPr>
          <w:rFonts w:eastAsia="Times New Roman"/>
          <w:sz w:val="24"/>
          <w:szCs w:val="24"/>
          <w:lang w:eastAsia="hu-HU"/>
        </w:rPr>
        <w:t>Enste</w:t>
      </w:r>
      <w:proofErr w:type="spellEnd"/>
      <w:r w:rsidRPr="005E477E">
        <w:rPr>
          <w:rFonts w:eastAsia="Times New Roman"/>
          <w:sz w:val="24"/>
          <w:szCs w:val="24"/>
          <w:lang w:eastAsia="hu-HU"/>
        </w:rPr>
        <w:t xml:space="preserve">, D. H. (2013). </w:t>
      </w:r>
      <w:r w:rsidRPr="005E477E">
        <w:rPr>
          <w:rFonts w:eastAsia="Times New Roman"/>
          <w:i/>
          <w:iCs/>
          <w:sz w:val="24"/>
          <w:szCs w:val="24"/>
          <w:lang w:eastAsia="hu-HU"/>
        </w:rPr>
        <w:t>The shadow economy: An international survey</w:t>
      </w:r>
      <w:r w:rsidRPr="005E477E">
        <w:rPr>
          <w:rFonts w:eastAsia="Times New Roman"/>
          <w:sz w:val="24"/>
          <w:szCs w:val="24"/>
          <w:lang w:eastAsia="hu-HU"/>
        </w:rPr>
        <w:t xml:space="preserve">. </w:t>
      </w:r>
      <w:r w:rsidRPr="005E477E">
        <w:rPr>
          <w:rFonts w:eastAsia="Times New Roman"/>
          <w:sz w:val="24"/>
          <w:szCs w:val="24"/>
          <w:lang w:eastAsia="hu-HU"/>
        </w:rPr>
        <w:tab/>
        <w:t>Cambridge University Press.</w:t>
      </w:r>
    </w:p>
    <w:p w14:paraId="411A4699" w14:textId="2A072EC0" w:rsidR="00E6673C" w:rsidRPr="005E477E" w:rsidRDefault="0080741C" w:rsidP="005E477E">
      <w:pPr>
        <w:pStyle w:val="NoSpacing"/>
        <w:spacing w:after="60" w:line="276" w:lineRule="auto"/>
        <w:jc w:val="both"/>
        <w:rPr>
          <w:sz w:val="24"/>
          <w:szCs w:val="24"/>
          <w:lang w:val="en-US"/>
        </w:rPr>
      </w:pPr>
      <w:r w:rsidRPr="005E477E">
        <w:rPr>
          <w:sz w:val="24"/>
          <w:szCs w:val="24"/>
          <w:lang w:val="en-US"/>
        </w:rPr>
        <w:t xml:space="preserve">Stam, E. Entrepreneurship, evolution and geography. In: </w:t>
      </w:r>
      <w:proofErr w:type="spellStart"/>
      <w:r w:rsidRPr="005E477E">
        <w:rPr>
          <w:sz w:val="24"/>
          <w:szCs w:val="24"/>
          <w:lang w:val="en-US"/>
        </w:rPr>
        <w:t>Boschma</w:t>
      </w:r>
      <w:proofErr w:type="spellEnd"/>
      <w:r w:rsidRPr="005E477E">
        <w:rPr>
          <w:sz w:val="24"/>
          <w:szCs w:val="24"/>
          <w:lang w:val="en-US"/>
        </w:rPr>
        <w:t xml:space="preserve">, R., Martin, R. (Eds.) The </w:t>
      </w:r>
      <w:r w:rsidRPr="005E477E">
        <w:rPr>
          <w:sz w:val="24"/>
          <w:szCs w:val="24"/>
          <w:lang w:val="en-US"/>
        </w:rPr>
        <w:tab/>
        <w:t xml:space="preserve">handbook of evolutionary economic geography. Cheltenham/UK, Northampton/USA: </w:t>
      </w:r>
      <w:r w:rsidRPr="005E477E">
        <w:rPr>
          <w:sz w:val="24"/>
          <w:szCs w:val="24"/>
          <w:lang w:val="en-US"/>
        </w:rPr>
        <w:tab/>
        <w:t>Edward Elgar, 2010. p. 139–161.</w:t>
      </w:r>
    </w:p>
    <w:p w14:paraId="31A85A06" w14:textId="7F9F850C" w:rsidR="00C56841" w:rsidRPr="005E477E" w:rsidRDefault="00C56841" w:rsidP="005E477E">
      <w:pPr>
        <w:pStyle w:val="NoSpacing"/>
        <w:spacing w:after="60" w:line="276" w:lineRule="auto"/>
        <w:jc w:val="both"/>
        <w:rPr>
          <w:sz w:val="24"/>
          <w:szCs w:val="24"/>
          <w:lang w:val="en-US"/>
        </w:rPr>
      </w:pPr>
      <w:r w:rsidRPr="005E477E">
        <w:rPr>
          <w:sz w:val="24"/>
          <w:szCs w:val="24"/>
          <w:lang w:val="en-US"/>
        </w:rPr>
        <w:t xml:space="preserve">Stam, E. and </w:t>
      </w:r>
      <w:proofErr w:type="spellStart"/>
      <w:r w:rsidRPr="005E477E">
        <w:rPr>
          <w:sz w:val="24"/>
          <w:szCs w:val="24"/>
          <w:lang w:val="en-US"/>
        </w:rPr>
        <w:t>Verbeeten</w:t>
      </w:r>
      <w:proofErr w:type="spellEnd"/>
      <w:r w:rsidRPr="005E477E">
        <w:rPr>
          <w:sz w:val="24"/>
          <w:szCs w:val="24"/>
          <w:lang w:val="en-US"/>
        </w:rPr>
        <w:t xml:space="preserve">, F. (2016) Tax compliance over the Firm Cycle, </w:t>
      </w:r>
      <w:r w:rsidRPr="005E477E">
        <w:rPr>
          <w:i/>
          <w:sz w:val="24"/>
          <w:szCs w:val="24"/>
          <w:lang w:val="en-US"/>
        </w:rPr>
        <w:t xml:space="preserve">International Small </w:t>
      </w:r>
      <w:r w:rsidRPr="005E477E">
        <w:rPr>
          <w:i/>
          <w:sz w:val="24"/>
          <w:szCs w:val="24"/>
          <w:lang w:val="en-US"/>
        </w:rPr>
        <w:tab/>
        <w:t xml:space="preserve">Business Journal, </w:t>
      </w:r>
      <w:r w:rsidRPr="005E477E">
        <w:rPr>
          <w:sz w:val="24"/>
          <w:szCs w:val="24"/>
          <w:lang w:val="en-US"/>
        </w:rPr>
        <w:t>1_17.</w:t>
      </w:r>
    </w:p>
    <w:p w14:paraId="7960C5A5" w14:textId="47FFFC85" w:rsidR="0080741C" w:rsidRPr="005E477E" w:rsidRDefault="0080741C" w:rsidP="005E477E">
      <w:pPr>
        <w:pStyle w:val="NoSpacing"/>
        <w:spacing w:after="60" w:line="276" w:lineRule="auto"/>
        <w:jc w:val="both"/>
        <w:rPr>
          <w:sz w:val="24"/>
          <w:szCs w:val="24"/>
          <w:lang w:val="en-US"/>
        </w:rPr>
      </w:pPr>
      <w:r w:rsidRPr="005E477E">
        <w:rPr>
          <w:sz w:val="24"/>
          <w:szCs w:val="24"/>
          <w:lang w:val="en-US"/>
        </w:rPr>
        <w:t xml:space="preserve">Thurik, R., </w:t>
      </w:r>
      <w:proofErr w:type="spellStart"/>
      <w:r w:rsidRPr="005E477E">
        <w:rPr>
          <w:sz w:val="24"/>
          <w:szCs w:val="24"/>
          <w:lang w:val="en-US"/>
        </w:rPr>
        <w:t>Audretsch</w:t>
      </w:r>
      <w:proofErr w:type="spellEnd"/>
      <w:r w:rsidRPr="005E477E">
        <w:rPr>
          <w:sz w:val="24"/>
          <w:szCs w:val="24"/>
          <w:lang w:val="en-US"/>
        </w:rPr>
        <w:t xml:space="preserve">, D., </w:t>
      </w:r>
      <w:proofErr w:type="spellStart"/>
      <w:r w:rsidRPr="005E477E">
        <w:rPr>
          <w:sz w:val="24"/>
          <w:szCs w:val="24"/>
          <w:lang w:val="en-US"/>
        </w:rPr>
        <w:t>Carree</w:t>
      </w:r>
      <w:proofErr w:type="spellEnd"/>
      <w:r w:rsidRPr="005E477E">
        <w:rPr>
          <w:sz w:val="24"/>
          <w:szCs w:val="24"/>
          <w:lang w:val="en-US"/>
        </w:rPr>
        <w:t xml:space="preserve">, M., Van </w:t>
      </w:r>
      <w:proofErr w:type="spellStart"/>
      <w:r w:rsidRPr="005E477E">
        <w:rPr>
          <w:sz w:val="24"/>
          <w:szCs w:val="24"/>
          <w:lang w:val="en-US"/>
        </w:rPr>
        <w:t>Stel</w:t>
      </w:r>
      <w:proofErr w:type="spellEnd"/>
      <w:r w:rsidRPr="005E477E">
        <w:rPr>
          <w:sz w:val="24"/>
          <w:szCs w:val="24"/>
          <w:lang w:val="en-US"/>
        </w:rPr>
        <w:t xml:space="preserve">, A., 2008. Does self-employment reduce </w:t>
      </w:r>
      <w:r w:rsidRPr="005E477E">
        <w:rPr>
          <w:sz w:val="24"/>
          <w:szCs w:val="24"/>
          <w:lang w:val="en-US"/>
        </w:rPr>
        <w:tab/>
        <w:t>unemployment? Journal of Business Venturing 23, 673–686.</w:t>
      </w:r>
    </w:p>
    <w:p w14:paraId="79547C61" w14:textId="77777777" w:rsidR="00A11879" w:rsidRPr="005E477E" w:rsidRDefault="00A11879" w:rsidP="005E477E">
      <w:pPr>
        <w:spacing w:after="60" w:line="276" w:lineRule="auto"/>
        <w:ind w:left="720" w:hanging="720"/>
        <w:jc w:val="both"/>
        <w:rPr>
          <w:rFonts w:cstheme="minorHAnsi"/>
          <w:sz w:val="24"/>
          <w:szCs w:val="24"/>
        </w:rPr>
      </w:pPr>
      <w:proofErr w:type="spellStart"/>
      <w:r w:rsidRPr="005E477E">
        <w:rPr>
          <w:rFonts w:cstheme="minorHAnsi"/>
          <w:sz w:val="24"/>
          <w:szCs w:val="24"/>
        </w:rPr>
        <w:t>Vismara</w:t>
      </w:r>
      <w:proofErr w:type="spellEnd"/>
      <w:r w:rsidRPr="005E477E">
        <w:rPr>
          <w:rFonts w:cstheme="minorHAnsi"/>
          <w:sz w:val="24"/>
          <w:szCs w:val="24"/>
        </w:rPr>
        <w:t>, S. (2015).</w:t>
      </w:r>
      <w:r w:rsidRPr="005E477E">
        <w:rPr>
          <w:sz w:val="24"/>
          <w:szCs w:val="24"/>
        </w:rPr>
        <w:t xml:space="preserve"> </w:t>
      </w:r>
      <w:r w:rsidRPr="005E477E">
        <w:rPr>
          <w:rFonts w:cstheme="minorHAnsi"/>
          <w:sz w:val="24"/>
          <w:szCs w:val="24"/>
        </w:rPr>
        <w:t>Equity retention and Social Network Theory in Equity Crowdfunding, Small Business Economics (in this Issue).</w:t>
      </w:r>
    </w:p>
    <w:p w14:paraId="5DCE34B0" w14:textId="16A8B637" w:rsidR="0080741C" w:rsidRPr="005E477E" w:rsidRDefault="0080741C" w:rsidP="005E477E">
      <w:pPr>
        <w:pStyle w:val="NoSpacing"/>
        <w:spacing w:after="60" w:line="276" w:lineRule="auto"/>
        <w:jc w:val="both"/>
        <w:rPr>
          <w:sz w:val="24"/>
          <w:szCs w:val="24"/>
          <w:lang w:val="en-US"/>
        </w:rPr>
      </w:pPr>
      <w:r w:rsidRPr="005E477E">
        <w:rPr>
          <w:sz w:val="24"/>
          <w:szCs w:val="24"/>
          <w:lang w:val="en-US"/>
        </w:rPr>
        <w:t xml:space="preserve">Wagner, J., Sternberg, R. Start-up activities, individual characteristics, and the regional </w:t>
      </w:r>
      <w:r w:rsidRPr="005E477E">
        <w:rPr>
          <w:sz w:val="24"/>
          <w:szCs w:val="24"/>
          <w:lang w:val="en-US"/>
        </w:rPr>
        <w:tab/>
        <w:t xml:space="preserve">milieu: Lessons for entrepreneurship support policies from German micro data. In Ann </w:t>
      </w:r>
      <w:r w:rsidRPr="005E477E">
        <w:rPr>
          <w:sz w:val="24"/>
          <w:szCs w:val="24"/>
          <w:lang w:val="en-US"/>
        </w:rPr>
        <w:tab/>
      </w:r>
      <w:proofErr w:type="spellStart"/>
      <w:r w:rsidRPr="005E477E">
        <w:rPr>
          <w:sz w:val="24"/>
          <w:szCs w:val="24"/>
          <w:lang w:val="en-US"/>
        </w:rPr>
        <w:t>Reg</w:t>
      </w:r>
      <w:proofErr w:type="spellEnd"/>
      <w:r w:rsidRPr="005E477E">
        <w:rPr>
          <w:sz w:val="24"/>
          <w:szCs w:val="24"/>
          <w:lang w:val="en-US"/>
        </w:rPr>
        <w:t xml:space="preserve"> Sci. ISSN 0570-1864, 2004, vol. 38, no. 2, p. 219–240.</w:t>
      </w:r>
    </w:p>
    <w:p w14:paraId="78EE9714" w14:textId="31F6E02C" w:rsidR="003C7978" w:rsidRPr="005E477E" w:rsidRDefault="00FF36E7" w:rsidP="005E477E">
      <w:pPr>
        <w:spacing w:after="60" w:line="276" w:lineRule="auto"/>
        <w:jc w:val="both"/>
        <w:rPr>
          <w:rFonts w:cstheme="minorHAnsi"/>
          <w:sz w:val="24"/>
          <w:szCs w:val="24"/>
        </w:rPr>
      </w:pPr>
      <w:r w:rsidRPr="005E477E">
        <w:rPr>
          <w:rFonts w:eastAsia="Times New Roman"/>
          <w:sz w:val="24"/>
          <w:szCs w:val="24"/>
          <w:lang w:val="hu-HU" w:eastAsia="hu-HU"/>
        </w:rPr>
        <w:t xml:space="preserve">Wiltbank, R., Read, S., Dew, N., Sarasvathy, S. D. (2009). Prediction and control under </w:t>
      </w:r>
      <w:r w:rsidR="007D0185" w:rsidRPr="005E477E">
        <w:rPr>
          <w:rFonts w:eastAsia="Times New Roman"/>
          <w:sz w:val="24"/>
          <w:szCs w:val="24"/>
          <w:lang w:val="hu-HU" w:eastAsia="hu-HU"/>
        </w:rPr>
        <w:tab/>
      </w:r>
      <w:r w:rsidRPr="005E477E">
        <w:rPr>
          <w:rFonts w:eastAsia="Times New Roman"/>
          <w:sz w:val="24"/>
          <w:szCs w:val="24"/>
          <w:lang w:val="hu-HU" w:eastAsia="hu-HU"/>
        </w:rPr>
        <w:t xml:space="preserve">uncertainty: Outcomes in angel investing. </w:t>
      </w:r>
      <w:r w:rsidRPr="005E477E">
        <w:rPr>
          <w:rFonts w:eastAsia="Times New Roman"/>
          <w:i/>
          <w:iCs/>
          <w:sz w:val="24"/>
          <w:szCs w:val="24"/>
          <w:lang w:val="hu-HU" w:eastAsia="hu-HU"/>
        </w:rPr>
        <w:t>Journal of Business Venturing</w:t>
      </w:r>
      <w:r w:rsidRPr="005E477E">
        <w:rPr>
          <w:rFonts w:eastAsia="Times New Roman"/>
          <w:sz w:val="24"/>
          <w:szCs w:val="24"/>
          <w:lang w:val="hu-HU" w:eastAsia="hu-HU"/>
        </w:rPr>
        <w:t xml:space="preserve">, </w:t>
      </w:r>
      <w:r w:rsidRPr="005E477E">
        <w:rPr>
          <w:rFonts w:eastAsia="Times New Roman"/>
          <w:i/>
          <w:iCs/>
          <w:sz w:val="24"/>
          <w:szCs w:val="24"/>
          <w:lang w:val="hu-HU" w:eastAsia="hu-HU"/>
        </w:rPr>
        <w:t>24</w:t>
      </w:r>
      <w:r w:rsidRPr="005E477E">
        <w:rPr>
          <w:rFonts w:eastAsia="Times New Roman"/>
          <w:sz w:val="24"/>
          <w:szCs w:val="24"/>
          <w:lang w:val="hu-HU" w:eastAsia="hu-HU"/>
        </w:rPr>
        <w:t>(2), 116-</w:t>
      </w:r>
      <w:r w:rsidR="007D0185" w:rsidRPr="005E477E">
        <w:rPr>
          <w:rFonts w:eastAsia="Times New Roman"/>
          <w:sz w:val="24"/>
          <w:szCs w:val="24"/>
          <w:lang w:val="hu-HU" w:eastAsia="hu-HU"/>
        </w:rPr>
        <w:tab/>
      </w:r>
      <w:r w:rsidRPr="005E477E">
        <w:rPr>
          <w:rFonts w:eastAsia="Times New Roman"/>
          <w:sz w:val="24"/>
          <w:szCs w:val="24"/>
          <w:lang w:val="hu-HU" w:eastAsia="hu-HU"/>
        </w:rPr>
        <w:t>133</w:t>
      </w:r>
      <w:r w:rsidRPr="005E477E">
        <w:rPr>
          <w:sz w:val="24"/>
          <w:szCs w:val="24"/>
        </w:rPr>
        <w:t xml:space="preserve">World Bank. 2013. </w:t>
      </w:r>
      <w:r w:rsidRPr="005E477E">
        <w:rPr>
          <w:rStyle w:val="italic"/>
          <w:sz w:val="24"/>
          <w:szCs w:val="24"/>
        </w:rPr>
        <w:t>Crowdfunding's Potential for the Developing World</w:t>
      </w:r>
      <w:r w:rsidRPr="005E477E">
        <w:rPr>
          <w:sz w:val="24"/>
          <w:szCs w:val="24"/>
        </w:rPr>
        <w:t xml:space="preserve">. </w:t>
      </w:r>
      <w:r w:rsidR="007D0185" w:rsidRPr="005E477E">
        <w:rPr>
          <w:sz w:val="24"/>
          <w:szCs w:val="24"/>
        </w:rPr>
        <w:tab/>
      </w:r>
      <w:r w:rsidRPr="005E477E">
        <w:rPr>
          <w:sz w:val="24"/>
          <w:szCs w:val="24"/>
        </w:rPr>
        <w:t>Washington, DC. © World Bank.</w:t>
      </w:r>
    </w:p>
    <w:p w14:paraId="750AEFC2" w14:textId="77777777" w:rsidR="0051740B" w:rsidRDefault="0051740B" w:rsidP="0060328A">
      <w:pPr>
        <w:spacing w:line="276" w:lineRule="auto"/>
        <w:jc w:val="both"/>
        <w:rPr>
          <w:rFonts w:eastAsia="MS Gothic"/>
          <w:b/>
          <w:bCs/>
          <w:color w:val="003399"/>
          <w:sz w:val="36"/>
          <w:szCs w:val="28"/>
        </w:rPr>
      </w:pPr>
      <w:r>
        <w:br w:type="page"/>
      </w:r>
    </w:p>
    <w:p w14:paraId="20AB1D98" w14:textId="1FFAD6B0" w:rsidR="008B4DE4" w:rsidRDefault="008B4DE4" w:rsidP="0060328A">
      <w:pPr>
        <w:pStyle w:val="Heading1"/>
        <w:spacing w:line="276" w:lineRule="auto"/>
        <w:jc w:val="both"/>
      </w:pPr>
      <w:bookmarkStart w:id="35" w:name="_Toc447096858"/>
      <w:r>
        <w:lastRenderedPageBreak/>
        <w:t>8.  Appendix</w:t>
      </w:r>
      <w:bookmarkEnd w:id="35"/>
      <w:r>
        <w:t xml:space="preserve"> </w:t>
      </w:r>
    </w:p>
    <w:p w14:paraId="58F17B40" w14:textId="77777777" w:rsidR="0051740B" w:rsidRDefault="0051740B" w:rsidP="0060328A">
      <w:pPr>
        <w:spacing w:line="276" w:lineRule="auto"/>
        <w:jc w:val="both"/>
        <w:rPr>
          <w:b/>
        </w:rPr>
      </w:pPr>
      <w:r>
        <w:rPr>
          <w:b/>
        </w:rPr>
        <w:t xml:space="preserve">Table A1: </w:t>
      </w:r>
      <w:r w:rsidRPr="002617DF">
        <w:rPr>
          <w:b/>
        </w:rPr>
        <w:t xml:space="preserve">The description of the individual variables used in the </w:t>
      </w:r>
      <w:r>
        <w:rPr>
          <w:b/>
        </w:rPr>
        <w:t>GEI</w:t>
      </w:r>
      <w:r w:rsidRPr="002617DF">
        <w:rPr>
          <w:b/>
        </w:rPr>
        <w:t xml:space="preserve"> </w:t>
      </w:r>
    </w:p>
    <w:p w14:paraId="3F9CCCCE" w14:textId="77777777" w:rsidR="0051740B" w:rsidRPr="002617DF" w:rsidRDefault="0051740B" w:rsidP="0060328A">
      <w:pPr>
        <w:spacing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618"/>
      </w:tblGrid>
      <w:tr w:rsidR="0051740B" w:rsidRPr="008446DF" w14:paraId="18E2149B" w14:textId="77777777" w:rsidTr="005E53CA">
        <w:tc>
          <w:tcPr>
            <w:tcW w:w="1668" w:type="dxa"/>
          </w:tcPr>
          <w:p w14:paraId="43123C69" w14:textId="77777777" w:rsidR="0051740B" w:rsidRPr="008446DF" w:rsidRDefault="0051740B" w:rsidP="0060328A">
            <w:pPr>
              <w:spacing w:line="276" w:lineRule="auto"/>
              <w:jc w:val="both"/>
            </w:pPr>
            <w:r w:rsidRPr="008446DF">
              <w:t>Individual variable</w:t>
            </w:r>
          </w:p>
        </w:tc>
        <w:tc>
          <w:tcPr>
            <w:tcW w:w="7618" w:type="dxa"/>
          </w:tcPr>
          <w:p w14:paraId="2DA47325" w14:textId="77777777" w:rsidR="0051740B" w:rsidRPr="008446DF" w:rsidRDefault="0051740B" w:rsidP="0060328A">
            <w:pPr>
              <w:spacing w:line="276" w:lineRule="auto"/>
              <w:jc w:val="both"/>
            </w:pPr>
            <w:r w:rsidRPr="008446DF">
              <w:t>Description</w:t>
            </w:r>
          </w:p>
        </w:tc>
      </w:tr>
      <w:tr w:rsidR="0051740B" w:rsidRPr="008446DF" w14:paraId="525558EE" w14:textId="77777777" w:rsidTr="005E53CA">
        <w:tc>
          <w:tcPr>
            <w:tcW w:w="1668" w:type="dxa"/>
            <w:vAlign w:val="bottom"/>
          </w:tcPr>
          <w:p w14:paraId="343D40B2" w14:textId="77777777" w:rsidR="0051740B" w:rsidRPr="008446DF" w:rsidRDefault="0051740B" w:rsidP="0060328A">
            <w:pPr>
              <w:spacing w:line="276" w:lineRule="auto"/>
              <w:jc w:val="both"/>
            </w:pPr>
            <w:r w:rsidRPr="008446DF">
              <w:t>Opportunity Recognition</w:t>
            </w:r>
          </w:p>
        </w:tc>
        <w:tc>
          <w:tcPr>
            <w:tcW w:w="7618" w:type="dxa"/>
          </w:tcPr>
          <w:p w14:paraId="2CE7C3F5" w14:textId="77777777" w:rsidR="0051740B" w:rsidRPr="008446DF" w:rsidRDefault="0051740B" w:rsidP="0060328A">
            <w:pPr>
              <w:spacing w:line="276" w:lineRule="auto"/>
              <w:jc w:val="both"/>
            </w:pPr>
            <w:r w:rsidRPr="008446DF">
              <w:t xml:space="preserve">The percentage of the 18-64 aged population recognizing good conditions to start business next 6 months in area he/she lives, </w:t>
            </w:r>
          </w:p>
        </w:tc>
      </w:tr>
      <w:tr w:rsidR="0051740B" w:rsidRPr="008446DF" w14:paraId="51AEAA78" w14:textId="77777777" w:rsidTr="005E53CA">
        <w:tc>
          <w:tcPr>
            <w:tcW w:w="1668" w:type="dxa"/>
            <w:vAlign w:val="bottom"/>
          </w:tcPr>
          <w:p w14:paraId="2F4194E1" w14:textId="77777777" w:rsidR="0051740B" w:rsidRPr="008446DF" w:rsidRDefault="0051740B" w:rsidP="0060328A">
            <w:pPr>
              <w:spacing w:line="276" w:lineRule="auto"/>
              <w:jc w:val="both"/>
            </w:pPr>
            <w:r w:rsidRPr="008446DF">
              <w:t>Skill Perception</w:t>
            </w:r>
          </w:p>
        </w:tc>
        <w:tc>
          <w:tcPr>
            <w:tcW w:w="7618" w:type="dxa"/>
          </w:tcPr>
          <w:p w14:paraId="01F93D3B" w14:textId="77777777" w:rsidR="0051740B" w:rsidRPr="008446DF" w:rsidRDefault="0051740B" w:rsidP="0060328A">
            <w:pPr>
              <w:spacing w:line="276" w:lineRule="auto"/>
              <w:jc w:val="both"/>
            </w:pPr>
            <w:r w:rsidRPr="008446DF">
              <w:t xml:space="preserve">The percentage of the 18-64 aged population claiming to possess the required knowledge/skills to start business </w:t>
            </w:r>
          </w:p>
        </w:tc>
      </w:tr>
      <w:tr w:rsidR="0051740B" w:rsidRPr="008446DF" w14:paraId="0412C5E7" w14:textId="77777777" w:rsidTr="005E53CA">
        <w:tc>
          <w:tcPr>
            <w:tcW w:w="1668" w:type="dxa"/>
            <w:vAlign w:val="bottom"/>
          </w:tcPr>
          <w:p w14:paraId="34CE939D" w14:textId="77777777" w:rsidR="0051740B" w:rsidRPr="008446DF" w:rsidRDefault="0051740B" w:rsidP="0060328A">
            <w:pPr>
              <w:spacing w:line="276" w:lineRule="auto"/>
              <w:jc w:val="both"/>
            </w:pPr>
            <w:r w:rsidRPr="008446DF">
              <w:t>Risk Acceptance</w:t>
            </w:r>
          </w:p>
        </w:tc>
        <w:tc>
          <w:tcPr>
            <w:tcW w:w="7618" w:type="dxa"/>
          </w:tcPr>
          <w:p w14:paraId="7401CC98" w14:textId="77777777" w:rsidR="0051740B" w:rsidRPr="008446DF" w:rsidRDefault="0051740B" w:rsidP="0060328A">
            <w:pPr>
              <w:spacing w:line="276" w:lineRule="auto"/>
              <w:jc w:val="both"/>
            </w:pPr>
            <w:r w:rsidRPr="008446DF">
              <w:t xml:space="preserve">The percentage of the 18-64 aged population stating that the fear of failure would not prevent starting a business </w:t>
            </w:r>
          </w:p>
        </w:tc>
      </w:tr>
      <w:tr w:rsidR="0051740B" w:rsidRPr="008446DF" w14:paraId="090F06B7" w14:textId="77777777" w:rsidTr="005E53CA">
        <w:tc>
          <w:tcPr>
            <w:tcW w:w="1668" w:type="dxa"/>
            <w:vAlign w:val="bottom"/>
          </w:tcPr>
          <w:p w14:paraId="5F3EEAEF" w14:textId="77777777" w:rsidR="0051740B" w:rsidRPr="008446DF" w:rsidRDefault="0051740B" w:rsidP="0060328A">
            <w:pPr>
              <w:spacing w:line="276" w:lineRule="auto"/>
              <w:jc w:val="both"/>
            </w:pPr>
            <w:r w:rsidRPr="008446DF">
              <w:t>Know Entrepreneurs</w:t>
            </w:r>
          </w:p>
        </w:tc>
        <w:tc>
          <w:tcPr>
            <w:tcW w:w="7618" w:type="dxa"/>
          </w:tcPr>
          <w:p w14:paraId="0BC7BFA0" w14:textId="77777777" w:rsidR="0051740B" w:rsidRPr="008446DF" w:rsidRDefault="0051740B" w:rsidP="0060328A">
            <w:pPr>
              <w:spacing w:line="276" w:lineRule="auto"/>
              <w:jc w:val="both"/>
            </w:pPr>
            <w:r w:rsidRPr="008446DF">
              <w:t xml:space="preserve">The percentage of the 18-64 aged population knowing someone who started a business in the past 2 years </w:t>
            </w:r>
          </w:p>
        </w:tc>
      </w:tr>
      <w:tr w:rsidR="0051740B" w:rsidRPr="008446DF" w14:paraId="7C0583D7" w14:textId="77777777" w:rsidTr="005E53CA">
        <w:tc>
          <w:tcPr>
            <w:tcW w:w="1668" w:type="dxa"/>
          </w:tcPr>
          <w:p w14:paraId="208146B1" w14:textId="77777777" w:rsidR="0051740B" w:rsidRPr="008446DF" w:rsidRDefault="0051740B" w:rsidP="0060328A">
            <w:pPr>
              <w:spacing w:line="276" w:lineRule="auto"/>
              <w:jc w:val="both"/>
            </w:pPr>
            <w:r w:rsidRPr="008446DF">
              <w:t>Carrier</w:t>
            </w:r>
          </w:p>
        </w:tc>
        <w:tc>
          <w:tcPr>
            <w:tcW w:w="7618" w:type="dxa"/>
          </w:tcPr>
          <w:p w14:paraId="1A81AE39" w14:textId="77777777" w:rsidR="0051740B" w:rsidRPr="008446DF" w:rsidRDefault="0051740B" w:rsidP="0060328A">
            <w:pPr>
              <w:spacing w:line="276" w:lineRule="auto"/>
              <w:jc w:val="both"/>
            </w:pPr>
            <w:r w:rsidRPr="008446DF">
              <w:t>The percentage of the 18-64 aged population saying that people consider starting business as good carrier choice</w:t>
            </w:r>
          </w:p>
        </w:tc>
      </w:tr>
      <w:tr w:rsidR="0051740B" w:rsidRPr="008446DF" w14:paraId="2D1A92D8" w14:textId="77777777" w:rsidTr="005E53CA">
        <w:tc>
          <w:tcPr>
            <w:tcW w:w="1668" w:type="dxa"/>
          </w:tcPr>
          <w:p w14:paraId="7A9FC5B7" w14:textId="77777777" w:rsidR="0051740B" w:rsidRPr="008446DF" w:rsidRDefault="0051740B" w:rsidP="0060328A">
            <w:pPr>
              <w:spacing w:line="276" w:lineRule="auto"/>
              <w:jc w:val="both"/>
            </w:pPr>
            <w:r w:rsidRPr="008446DF">
              <w:t>Status</w:t>
            </w:r>
          </w:p>
        </w:tc>
        <w:tc>
          <w:tcPr>
            <w:tcW w:w="7618" w:type="dxa"/>
          </w:tcPr>
          <w:p w14:paraId="5E70EC00" w14:textId="77777777" w:rsidR="0051740B" w:rsidRPr="008446DF" w:rsidRDefault="0051740B" w:rsidP="0060328A">
            <w:pPr>
              <w:spacing w:line="276" w:lineRule="auto"/>
              <w:jc w:val="both"/>
            </w:pPr>
            <w:r w:rsidRPr="008446DF">
              <w:t>The percentage of the 18-64 aged population thinking that people attach high status to successful entrepreneurs</w:t>
            </w:r>
          </w:p>
        </w:tc>
      </w:tr>
      <w:tr w:rsidR="0051740B" w:rsidRPr="008446DF" w14:paraId="6A935D55" w14:textId="77777777" w:rsidTr="005E53CA">
        <w:tc>
          <w:tcPr>
            <w:tcW w:w="1668" w:type="dxa"/>
          </w:tcPr>
          <w:p w14:paraId="6F802FF3" w14:textId="77777777" w:rsidR="0051740B" w:rsidRPr="008446DF" w:rsidRDefault="0051740B" w:rsidP="0060328A">
            <w:pPr>
              <w:spacing w:line="276" w:lineRule="auto"/>
              <w:jc w:val="both"/>
            </w:pPr>
            <w:r w:rsidRPr="008446DF">
              <w:t>Career Status</w:t>
            </w:r>
          </w:p>
          <w:p w14:paraId="23BC620F" w14:textId="77777777" w:rsidR="0051740B" w:rsidRPr="008446DF" w:rsidRDefault="0051740B" w:rsidP="0060328A">
            <w:pPr>
              <w:spacing w:line="276" w:lineRule="auto"/>
              <w:jc w:val="both"/>
            </w:pPr>
          </w:p>
        </w:tc>
        <w:tc>
          <w:tcPr>
            <w:tcW w:w="7618" w:type="dxa"/>
          </w:tcPr>
          <w:p w14:paraId="0D0A98C4" w14:textId="77777777" w:rsidR="0051740B" w:rsidRPr="008446DF" w:rsidRDefault="0051740B" w:rsidP="0060328A">
            <w:pPr>
              <w:spacing w:line="276" w:lineRule="auto"/>
              <w:jc w:val="both"/>
            </w:pPr>
            <w:r w:rsidRPr="008446DF">
              <w:t>The status and respect of entrepreneurs calculated as the average of Carrier and Status</w:t>
            </w:r>
          </w:p>
        </w:tc>
      </w:tr>
      <w:tr w:rsidR="0051740B" w:rsidRPr="008446DF" w14:paraId="6809A37C" w14:textId="77777777" w:rsidTr="005E53CA">
        <w:tc>
          <w:tcPr>
            <w:tcW w:w="1668" w:type="dxa"/>
            <w:vAlign w:val="bottom"/>
          </w:tcPr>
          <w:p w14:paraId="327086AF" w14:textId="77777777" w:rsidR="0051740B" w:rsidRPr="008446DF" w:rsidRDefault="0051740B" w:rsidP="0060328A">
            <w:pPr>
              <w:spacing w:line="276" w:lineRule="auto"/>
              <w:jc w:val="both"/>
            </w:pPr>
            <w:r w:rsidRPr="008446DF">
              <w:t>Opportunity Motivation</w:t>
            </w:r>
          </w:p>
        </w:tc>
        <w:tc>
          <w:tcPr>
            <w:tcW w:w="7618" w:type="dxa"/>
          </w:tcPr>
          <w:p w14:paraId="21EBA445" w14:textId="77777777" w:rsidR="0051740B" w:rsidRPr="008446DF" w:rsidRDefault="0051740B" w:rsidP="0060328A">
            <w:pPr>
              <w:spacing w:line="276" w:lineRule="auto"/>
              <w:jc w:val="both"/>
            </w:pPr>
            <w:r w:rsidRPr="008446DF">
              <w:t xml:space="preserve">Percentage of the TEA businesses initiated because of opportunity start-up motive </w:t>
            </w:r>
          </w:p>
        </w:tc>
      </w:tr>
      <w:tr w:rsidR="0051740B" w:rsidRPr="008446DF" w14:paraId="6C7799B2" w14:textId="77777777" w:rsidTr="005E53CA">
        <w:tc>
          <w:tcPr>
            <w:tcW w:w="1668" w:type="dxa"/>
            <w:vAlign w:val="bottom"/>
          </w:tcPr>
          <w:p w14:paraId="54D1C3A2" w14:textId="77777777" w:rsidR="0051740B" w:rsidRPr="008446DF" w:rsidRDefault="0051740B" w:rsidP="0060328A">
            <w:pPr>
              <w:spacing w:line="276" w:lineRule="auto"/>
              <w:jc w:val="both"/>
            </w:pPr>
            <w:r w:rsidRPr="008446DF">
              <w:t>Technology Level</w:t>
            </w:r>
          </w:p>
        </w:tc>
        <w:tc>
          <w:tcPr>
            <w:tcW w:w="7618" w:type="dxa"/>
          </w:tcPr>
          <w:p w14:paraId="0E4AF3CC" w14:textId="77777777" w:rsidR="0051740B" w:rsidRPr="008446DF" w:rsidRDefault="0051740B" w:rsidP="0060328A">
            <w:pPr>
              <w:spacing w:line="276" w:lineRule="auto"/>
              <w:jc w:val="both"/>
            </w:pPr>
            <w:r w:rsidRPr="008446DF">
              <w:t xml:space="preserve">Percentage of the TEA businesses that are active in technology sectors (high or medium) </w:t>
            </w:r>
          </w:p>
        </w:tc>
      </w:tr>
      <w:tr w:rsidR="0051740B" w:rsidRPr="008446DF" w14:paraId="0327DDE3" w14:textId="77777777" w:rsidTr="005E53CA">
        <w:tc>
          <w:tcPr>
            <w:tcW w:w="1668" w:type="dxa"/>
            <w:vAlign w:val="bottom"/>
          </w:tcPr>
          <w:p w14:paraId="43503188" w14:textId="77777777" w:rsidR="0051740B" w:rsidRPr="008446DF" w:rsidRDefault="0051740B" w:rsidP="0060328A">
            <w:pPr>
              <w:spacing w:line="276" w:lineRule="auto"/>
              <w:jc w:val="both"/>
            </w:pPr>
            <w:r w:rsidRPr="008446DF">
              <w:t>Educational Level</w:t>
            </w:r>
          </w:p>
        </w:tc>
        <w:tc>
          <w:tcPr>
            <w:tcW w:w="7618" w:type="dxa"/>
          </w:tcPr>
          <w:p w14:paraId="76890F96" w14:textId="77777777" w:rsidR="0051740B" w:rsidRPr="008446DF" w:rsidRDefault="0051740B" w:rsidP="0060328A">
            <w:pPr>
              <w:spacing w:line="276" w:lineRule="auto"/>
              <w:jc w:val="both"/>
            </w:pPr>
            <w:r w:rsidRPr="008446DF">
              <w:t xml:space="preserve">Percentage of the TEA businesses owner/managers having participated over secondary education </w:t>
            </w:r>
          </w:p>
        </w:tc>
      </w:tr>
      <w:tr w:rsidR="0051740B" w:rsidRPr="008446DF" w14:paraId="2177EC4C" w14:textId="77777777" w:rsidTr="005E53CA">
        <w:tc>
          <w:tcPr>
            <w:tcW w:w="1668" w:type="dxa"/>
            <w:vAlign w:val="bottom"/>
          </w:tcPr>
          <w:p w14:paraId="2B7812A0" w14:textId="77777777" w:rsidR="0051740B" w:rsidRPr="008446DF" w:rsidRDefault="0051740B" w:rsidP="0060328A">
            <w:pPr>
              <w:spacing w:line="276" w:lineRule="auto"/>
              <w:jc w:val="both"/>
            </w:pPr>
            <w:r w:rsidRPr="008446DF">
              <w:t>Competitors</w:t>
            </w:r>
          </w:p>
        </w:tc>
        <w:tc>
          <w:tcPr>
            <w:tcW w:w="7618" w:type="dxa"/>
          </w:tcPr>
          <w:p w14:paraId="386F50B4" w14:textId="77777777" w:rsidR="0051740B" w:rsidRPr="008446DF" w:rsidRDefault="0051740B" w:rsidP="0060328A">
            <w:pPr>
              <w:spacing w:line="276" w:lineRule="auto"/>
              <w:jc w:val="both"/>
            </w:pPr>
            <w:r w:rsidRPr="008446DF">
              <w:t>Percentage of the TEA businesses started in those markets where not many businesses offer the same product</w:t>
            </w:r>
          </w:p>
        </w:tc>
      </w:tr>
      <w:tr w:rsidR="0051740B" w:rsidRPr="008446DF" w14:paraId="43BDAC4A" w14:textId="77777777" w:rsidTr="005E53CA">
        <w:tc>
          <w:tcPr>
            <w:tcW w:w="1668" w:type="dxa"/>
            <w:vAlign w:val="bottom"/>
          </w:tcPr>
          <w:p w14:paraId="10B0F076" w14:textId="77777777" w:rsidR="0051740B" w:rsidRPr="008446DF" w:rsidRDefault="0051740B" w:rsidP="0060328A">
            <w:pPr>
              <w:spacing w:line="276" w:lineRule="auto"/>
              <w:jc w:val="both"/>
            </w:pPr>
            <w:r w:rsidRPr="008446DF">
              <w:t>New Product</w:t>
            </w:r>
          </w:p>
        </w:tc>
        <w:tc>
          <w:tcPr>
            <w:tcW w:w="7618" w:type="dxa"/>
          </w:tcPr>
          <w:p w14:paraId="6F0591F7" w14:textId="77777777" w:rsidR="0051740B" w:rsidRPr="008446DF" w:rsidRDefault="0051740B" w:rsidP="0060328A">
            <w:pPr>
              <w:spacing w:line="276" w:lineRule="auto"/>
              <w:jc w:val="both"/>
            </w:pPr>
            <w:r w:rsidRPr="008446DF">
              <w:t>Percentage of the TEA businesses offering products that are new to at least some of the customers</w:t>
            </w:r>
          </w:p>
        </w:tc>
      </w:tr>
      <w:tr w:rsidR="0051740B" w:rsidRPr="008446DF" w14:paraId="05E46597" w14:textId="77777777" w:rsidTr="005E53CA">
        <w:tc>
          <w:tcPr>
            <w:tcW w:w="1668" w:type="dxa"/>
            <w:vAlign w:val="bottom"/>
          </w:tcPr>
          <w:p w14:paraId="5E875A96" w14:textId="77777777" w:rsidR="0051740B" w:rsidRPr="008446DF" w:rsidRDefault="0051740B" w:rsidP="0060328A">
            <w:pPr>
              <w:spacing w:line="276" w:lineRule="auto"/>
              <w:jc w:val="both"/>
            </w:pPr>
            <w:r w:rsidRPr="008446DF">
              <w:t>New Tech</w:t>
            </w:r>
          </w:p>
        </w:tc>
        <w:tc>
          <w:tcPr>
            <w:tcW w:w="7618" w:type="dxa"/>
          </w:tcPr>
          <w:p w14:paraId="09AB262E" w14:textId="77777777" w:rsidR="0051740B" w:rsidRPr="008446DF" w:rsidRDefault="0051740B" w:rsidP="0060328A">
            <w:pPr>
              <w:spacing w:line="276" w:lineRule="auto"/>
              <w:jc w:val="both"/>
            </w:pPr>
            <w:r w:rsidRPr="008446DF">
              <w:t>Percentage of the TEA businesses using new technology that is less than 5 years old average (including 1 year)</w:t>
            </w:r>
          </w:p>
        </w:tc>
      </w:tr>
      <w:tr w:rsidR="0051740B" w:rsidRPr="008446DF" w14:paraId="42A638EA" w14:textId="77777777" w:rsidTr="005E53CA">
        <w:tc>
          <w:tcPr>
            <w:tcW w:w="1668" w:type="dxa"/>
            <w:vAlign w:val="bottom"/>
          </w:tcPr>
          <w:p w14:paraId="261A1225" w14:textId="77777777" w:rsidR="0051740B" w:rsidRPr="008446DF" w:rsidRDefault="0051740B" w:rsidP="0060328A">
            <w:pPr>
              <w:spacing w:line="276" w:lineRule="auto"/>
              <w:jc w:val="both"/>
            </w:pPr>
            <w:r w:rsidRPr="008446DF">
              <w:t>Gazelle</w:t>
            </w:r>
          </w:p>
        </w:tc>
        <w:tc>
          <w:tcPr>
            <w:tcW w:w="7618" w:type="dxa"/>
          </w:tcPr>
          <w:p w14:paraId="5136E96F" w14:textId="77777777" w:rsidR="0051740B" w:rsidRPr="008446DF" w:rsidRDefault="0051740B" w:rsidP="0060328A">
            <w:pPr>
              <w:spacing w:line="276" w:lineRule="auto"/>
              <w:jc w:val="both"/>
            </w:pPr>
            <w:r w:rsidRPr="008446DF">
              <w:t xml:space="preserve">Percentage of the TEA businesses having high job expectation average (over 10 more employees and 50% in 5 years) </w:t>
            </w:r>
          </w:p>
        </w:tc>
      </w:tr>
      <w:tr w:rsidR="0051740B" w:rsidRPr="008446DF" w14:paraId="507201D9" w14:textId="77777777" w:rsidTr="005E53CA">
        <w:tc>
          <w:tcPr>
            <w:tcW w:w="1668" w:type="dxa"/>
            <w:vAlign w:val="bottom"/>
          </w:tcPr>
          <w:p w14:paraId="7DE250EE" w14:textId="77777777" w:rsidR="0051740B" w:rsidRPr="008446DF" w:rsidRDefault="0051740B" w:rsidP="0060328A">
            <w:pPr>
              <w:spacing w:line="276" w:lineRule="auto"/>
              <w:jc w:val="both"/>
            </w:pPr>
            <w:r w:rsidRPr="008446DF">
              <w:t>Export</w:t>
            </w:r>
          </w:p>
        </w:tc>
        <w:tc>
          <w:tcPr>
            <w:tcW w:w="7618" w:type="dxa"/>
          </w:tcPr>
          <w:p w14:paraId="6E47B830" w14:textId="77777777" w:rsidR="0051740B" w:rsidRPr="008446DF" w:rsidRDefault="0051740B" w:rsidP="0060328A">
            <w:pPr>
              <w:spacing w:line="276" w:lineRule="auto"/>
              <w:jc w:val="both"/>
            </w:pPr>
            <w:r w:rsidRPr="008446DF">
              <w:t>Percentage of the TEA businesses where at least some customers are outside country (over 1%)</w:t>
            </w:r>
          </w:p>
        </w:tc>
      </w:tr>
      <w:tr w:rsidR="0051740B" w:rsidRPr="008446DF" w14:paraId="3961609B" w14:textId="77777777" w:rsidTr="005E53CA">
        <w:tc>
          <w:tcPr>
            <w:tcW w:w="1668" w:type="dxa"/>
          </w:tcPr>
          <w:p w14:paraId="40BDB7C6" w14:textId="77777777" w:rsidR="0051740B" w:rsidRPr="008446DF" w:rsidRDefault="0051740B" w:rsidP="0060328A">
            <w:pPr>
              <w:spacing w:line="276" w:lineRule="auto"/>
              <w:jc w:val="both"/>
            </w:pPr>
            <w:r w:rsidRPr="008446DF">
              <w:t>Informal Investment Mean</w:t>
            </w:r>
          </w:p>
        </w:tc>
        <w:tc>
          <w:tcPr>
            <w:tcW w:w="7618" w:type="dxa"/>
          </w:tcPr>
          <w:p w14:paraId="49400DE2" w14:textId="77777777" w:rsidR="0051740B" w:rsidRPr="008446DF" w:rsidRDefault="0051740B" w:rsidP="0060328A">
            <w:pPr>
              <w:spacing w:line="276" w:lineRule="auto"/>
              <w:jc w:val="both"/>
            </w:pPr>
            <w:r w:rsidRPr="008446DF">
              <w:t>The mean amount of 3 year informal investment</w:t>
            </w:r>
          </w:p>
        </w:tc>
      </w:tr>
      <w:tr w:rsidR="0051740B" w:rsidRPr="008446DF" w14:paraId="28F76C1B" w14:textId="77777777" w:rsidTr="005E53CA">
        <w:tc>
          <w:tcPr>
            <w:tcW w:w="1668" w:type="dxa"/>
          </w:tcPr>
          <w:p w14:paraId="67C3FB6A" w14:textId="77777777" w:rsidR="0051740B" w:rsidRPr="008446DF" w:rsidRDefault="0051740B" w:rsidP="0060328A">
            <w:pPr>
              <w:spacing w:line="276" w:lineRule="auto"/>
              <w:jc w:val="both"/>
            </w:pPr>
            <w:r w:rsidRPr="008446DF">
              <w:t>Business Angel</w:t>
            </w:r>
          </w:p>
        </w:tc>
        <w:tc>
          <w:tcPr>
            <w:tcW w:w="7618" w:type="dxa"/>
          </w:tcPr>
          <w:p w14:paraId="6490FAEE" w14:textId="77777777" w:rsidR="0051740B" w:rsidRPr="008446DF" w:rsidRDefault="0051740B" w:rsidP="0060328A">
            <w:pPr>
              <w:spacing w:line="276" w:lineRule="auto"/>
              <w:jc w:val="both"/>
            </w:pPr>
            <w:r w:rsidRPr="008446DF">
              <w:t xml:space="preserve">The percentage of the 18-64 aged population who provided funds for new business in past 3 years excluding stocks &amp; funds, average </w:t>
            </w:r>
          </w:p>
        </w:tc>
      </w:tr>
      <w:tr w:rsidR="0051740B" w:rsidRPr="008446DF" w14:paraId="5BA43E1C" w14:textId="77777777" w:rsidTr="005E53CA">
        <w:tc>
          <w:tcPr>
            <w:tcW w:w="1668" w:type="dxa"/>
          </w:tcPr>
          <w:p w14:paraId="36FB1403" w14:textId="77777777" w:rsidR="0051740B" w:rsidRPr="008446DF" w:rsidRDefault="0051740B" w:rsidP="0060328A">
            <w:pPr>
              <w:spacing w:line="276" w:lineRule="auto"/>
              <w:jc w:val="both"/>
            </w:pPr>
            <w:r w:rsidRPr="008446DF">
              <w:t>Informal Investment</w:t>
            </w:r>
          </w:p>
        </w:tc>
        <w:tc>
          <w:tcPr>
            <w:tcW w:w="7618" w:type="dxa"/>
          </w:tcPr>
          <w:p w14:paraId="593B8683" w14:textId="77777777" w:rsidR="0051740B" w:rsidRPr="008446DF" w:rsidRDefault="0051740B" w:rsidP="0060328A">
            <w:pPr>
              <w:spacing w:line="276" w:lineRule="auto"/>
              <w:jc w:val="both"/>
            </w:pPr>
            <w:r w:rsidRPr="008446DF">
              <w:t>The amount of informal investment calculated as INFINVMEAN* BUSANG</w:t>
            </w:r>
          </w:p>
        </w:tc>
      </w:tr>
    </w:tbl>
    <w:p w14:paraId="46EF8EF0" w14:textId="77777777" w:rsidR="0051740B" w:rsidRDefault="0051740B" w:rsidP="0060328A">
      <w:pPr>
        <w:spacing w:line="276" w:lineRule="auto"/>
        <w:jc w:val="both"/>
      </w:pPr>
    </w:p>
    <w:p w14:paraId="6F4B7410" w14:textId="77777777" w:rsidR="0051740B" w:rsidRDefault="0051740B" w:rsidP="0060328A">
      <w:pPr>
        <w:spacing w:line="276" w:lineRule="auto"/>
        <w:jc w:val="both"/>
      </w:pPr>
      <w:r>
        <w:br w:type="page"/>
      </w:r>
    </w:p>
    <w:p w14:paraId="3CB072B6" w14:textId="77777777" w:rsidR="0051740B" w:rsidRDefault="0051740B" w:rsidP="0060328A">
      <w:pPr>
        <w:spacing w:line="276" w:lineRule="auto"/>
        <w:jc w:val="both"/>
        <w:sectPr w:rsidR="0051740B" w:rsidSect="0060328A">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titlePg/>
          <w:docGrid w:linePitch="360"/>
        </w:sectPr>
      </w:pPr>
    </w:p>
    <w:p w14:paraId="582D9558" w14:textId="77777777" w:rsidR="0051740B" w:rsidRPr="002617DF" w:rsidRDefault="0051740B" w:rsidP="0060328A">
      <w:pPr>
        <w:spacing w:line="276" w:lineRule="auto"/>
        <w:jc w:val="both"/>
        <w:rPr>
          <w:b/>
        </w:rPr>
      </w:pPr>
      <w:r>
        <w:rPr>
          <w:b/>
        </w:rPr>
        <w:lastRenderedPageBreak/>
        <w:t xml:space="preserve">Table A2: </w:t>
      </w:r>
      <w:r w:rsidRPr="002617DF">
        <w:rPr>
          <w:b/>
        </w:rPr>
        <w:t xml:space="preserve">The description and source of the institutional variables used in the </w:t>
      </w:r>
      <w:r>
        <w:rPr>
          <w:b/>
        </w:rPr>
        <w:t>GEI</w:t>
      </w:r>
    </w:p>
    <w:tbl>
      <w:tblPr>
        <w:tblW w:w="13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7617"/>
        <w:gridCol w:w="1650"/>
        <w:gridCol w:w="2514"/>
      </w:tblGrid>
      <w:tr w:rsidR="0051740B" w:rsidRPr="000600DF" w14:paraId="44F7A8A6" w14:textId="77777777" w:rsidTr="0051740B">
        <w:trPr>
          <w:trHeight w:val="144"/>
          <w:jc w:val="center"/>
        </w:trPr>
        <w:tc>
          <w:tcPr>
            <w:tcW w:w="1515" w:type="dxa"/>
          </w:tcPr>
          <w:p w14:paraId="67C73A04" w14:textId="77777777" w:rsidR="0051740B" w:rsidRPr="000600DF" w:rsidRDefault="0051740B" w:rsidP="0060328A">
            <w:pPr>
              <w:spacing w:line="276" w:lineRule="auto"/>
              <w:jc w:val="both"/>
            </w:pPr>
            <w:r w:rsidRPr="000600DF">
              <w:t xml:space="preserve">Institutional </w:t>
            </w:r>
            <w:r>
              <w:t>V</w:t>
            </w:r>
            <w:r w:rsidRPr="000600DF">
              <w:t>ariable</w:t>
            </w:r>
          </w:p>
        </w:tc>
        <w:tc>
          <w:tcPr>
            <w:tcW w:w="7617" w:type="dxa"/>
          </w:tcPr>
          <w:p w14:paraId="61099E9E" w14:textId="77777777" w:rsidR="0051740B" w:rsidRPr="000600DF" w:rsidRDefault="0051740B" w:rsidP="0060328A">
            <w:pPr>
              <w:spacing w:line="276" w:lineRule="auto"/>
              <w:jc w:val="both"/>
            </w:pPr>
            <w:r w:rsidRPr="000600DF">
              <w:t xml:space="preserve">Description </w:t>
            </w:r>
          </w:p>
        </w:tc>
        <w:tc>
          <w:tcPr>
            <w:tcW w:w="1650" w:type="dxa"/>
            <w:vAlign w:val="center"/>
          </w:tcPr>
          <w:p w14:paraId="4916F435" w14:textId="77777777" w:rsidR="0051740B" w:rsidRPr="000600DF" w:rsidRDefault="0051740B" w:rsidP="0060328A">
            <w:pPr>
              <w:spacing w:line="276" w:lineRule="auto"/>
              <w:jc w:val="both"/>
            </w:pPr>
            <w:r w:rsidRPr="000600DF">
              <w:t>Source</w:t>
            </w:r>
          </w:p>
          <w:p w14:paraId="10A362CF" w14:textId="77777777" w:rsidR="0051740B" w:rsidRPr="000600DF" w:rsidRDefault="0051740B" w:rsidP="0060328A">
            <w:pPr>
              <w:spacing w:line="276" w:lineRule="auto"/>
              <w:jc w:val="both"/>
            </w:pPr>
            <w:r w:rsidRPr="000600DF">
              <w:t xml:space="preserve">of </w:t>
            </w:r>
            <w:r>
              <w:t>D</w:t>
            </w:r>
            <w:r w:rsidRPr="000600DF">
              <w:t>ata</w:t>
            </w:r>
          </w:p>
        </w:tc>
        <w:tc>
          <w:tcPr>
            <w:tcW w:w="2514" w:type="dxa"/>
            <w:vAlign w:val="center"/>
          </w:tcPr>
          <w:p w14:paraId="67125299" w14:textId="77777777" w:rsidR="0051740B" w:rsidRPr="000600DF" w:rsidRDefault="0051740B" w:rsidP="0060328A">
            <w:pPr>
              <w:spacing w:line="276" w:lineRule="auto"/>
              <w:jc w:val="both"/>
            </w:pPr>
            <w:r w:rsidRPr="000600DF">
              <w:t xml:space="preserve">Data </w:t>
            </w:r>
            <w:r>
              <w:t>A</w:t>
            </w:r>
            <w:r w:rsidRPr="000600DF">
              <w:t>vailability</w:t>
            </w:r>
          </w:p>
        </w:tc>
      </w:tr>
      <w:tr w:rsidR="0051740B" w:rsidRPr="000600DF" w14:paraId="62DC54E0" w14:textId="77777777" w:rsidTr="0051740B">
        <w:trPr>
          <w:trHeight w:val="144"/>
          <w:jc w:val="center"/>
        </w:trPr>
        <w:tc>
          <w:tcPr>
            <w:tcW w:w="1515" w:type="dxa"/>
            <w:vAlign w:val="center"/>
          </w:tcPr>
          <w:p w14:paraId="6C0DC5D0" w14:textId="77777777" w:rsidR="0051740B" w:rsidRPr="000600DF" w:rsidRDefault="0051740B" w:rsidP="0060328A">
            <w:pPr>
              <w:spacing w:line="276" w:lineRule="auto"/>
              <w:jc w:val="both"/>
            </w:pPr>
            <w:r w:rsidRPr="000600DF">
              <w:t xml:space="preserve">Domestic Market </w:t>
            </w:r>
          </w:p>
        </w:tc>
        <w:tc>
          <w:tcPr>
            <w:tcW w:w="7617" w:type="dxa"/>
          </w:tcPr>
          <w:p w14:paraId="676AB0C6" w14:textId="77777777" w:rsidR="0051740B" w:rsidRPr="000600DF" w:rsidRDefault="0051740B" w:rsidP="0060328A">
            <w:pPr>
              <w:spacing w:line="276" w:lineRule="auto"/>
              <w:jc w:val="both"/>
            </w:pPr>
            <w:r w:rsidRPr="000600DF">
              <w:t>Domestic market size that is the sum of gross domestic product plus value of imports of goods and services, minus value of exports of goods and services, normalized on a 1–7 (best) scale data are from the World Economic Forum Competitiveness</w:t>
            </w:r>
          </w:p>
        </w:tc>
        <w:tc>
          <w:tcPr>
            <w:tcW w:w="1650" w:type="dxa"/>
            <w:vAlign w:val="center"/>
          </w:tcPr>
          <w:p w14:paraId="030C91A5" w14:textId="77777777" w:rsidR="0051740B" w:rsidRPr="000600DF" w:rsidRDefault="0051740B" w:rsidP="0060328A">
            <w:pPr>
              <w:spacing w:line="276" w:lineRule="auto"/>
              <w:jc w:val="both"/>
            </w:pPr>
            <w:r w:rsidRPr="000600DF">
              <w:t>World Economic Forum</w:t>
            </w:r>
          </w:p>
        </w:tc>
        <w:tc>
          <w:tcPr>
            <w:tcW w:w="2514" w:type="dxa"/>
            <w:vAlign w:val="center"/>
          </w:tcPr>
          <w:p w14:paraId="143C2822" w14:textId="77777777" w:rsidR="0051740B" w:rsidRPr="000600DF" w:rsidRDefault="0051740B" w:rsidP="0060328A">
            <w:pPr>
              <w:spacing w:line="276" w:lineRule="auto"/>
              <w:jc w:val="both"/>
            </w:pPr>
            <w:r w:rsidRPr="000600DF">
              <w:t xml:space="preserve">The Global Competitiveness Report </w:t>
            </w:r>
            <w:r>
              <w:t>2005-2006, 2006-2007, 2007-2008, 2008-2009, 2009-2010</w:t>
            </w:r>
            <w:r w:rsidRPr="000600DF">
              <w:t xml:space="preserve">, </w:t>
            </w:r>
          </w:p>
        </w:tc>
      </w:tr>
      <w:tr w:rsidR="0051740B" w:rsidRPr="000600DF" w14:paraId="67772F3D" w14:textId="77777777" w:rsidTr="0051740B">
        <w:trPr>
          <w:trHeight w:val="144"/>
          <w:jc w:val="center"/>
        </w:trPr>
        <w:tc>
          <w:tcPr>
            <w:tcW w:w="1515" w:type="dxa"/>
            <w:vAlign w:val="center"/>
          </w:tcPr>
          <w:p w14:paraId="39B112E1" w14:textId="77777777" w:rsidR="0051740B" w:rsidRPr="000600DF" w:rsidRDefault="0051740B" w:rsidP="0060328A">
            <w:pPr>
              <w:spacing w:line="276" w:lineRule="auto"/>
              <w:jc w:val="both"/>
            </w:pPr>
            <w:r w:rsidRPr="000600DF">
              <w:t>Urbanization</w:t>
            </w:r>
          </w:p>
        </w:tc>
        <w:tc>
          <w:tcPr>
            <w:tcW w:w="7617" w:type="dxa"/>
          </w:tcPr>
          <w:p w14:paraId="592E2518" w14:textId="77777777" w:rsidR="0051740B" w:rsidRPr="000600DF" w:rsidRDefault="0051740B" w:rsidP="0060328A">
            <w:pPr>
              <w:spacing w:line="276" w:lineRule="auto"/>
              <w:jc w:val="both"/>
            </w:pPr>
            <w:r w:rsidRPr="000600DF">
              <w:t>Urbanization that is the percentage of the population living in urban areas, data are from the Population Divi</w:t>
            </w:r>
            <w:r>
              <w:t>sion of the United Nations, 2011</w:t>
            </w:r>
          </w:p>
        </w:tc>
        <w:tc>
          <w:tcPr>
            <w:tcW w:w="1650" w:type="dxa"/>
            <w:vAlign w:val="center"/>
          </w:tcPr>
          <w:p w14:paraId="5A51DE03" w14:textId="77777777" w:rsidR="0051740B" w:rsidRPr="000600DF" w:rsidRDefault="0051740B" w:rsidP="0060328A">
            <w:pPr>
              <w:spacing w:line="276" w:lineRule="auto"/>
              <w:jc w:val="both"/>
            </w:pPr>
            <w:r w:rsidRPr="000600DF">
              <w:t>United Nations</w:t>
            </w:r>
          </w:p>
        </w:tc>
        <w:tc>
          <w:tcPr>
            <w:tcW w:w="2514" w:type="dxa"/>
            <w:vAlign w:val="center"/>
          </w:tcPr>
          <w:p w14:paraId="11BF0032" w14:textId="77777777" w:rsidR="0051740B" w:rsidRPr="000600DF" w:rsidRDefault="0051740B" w:rsidP="0060328A">
            <w:pPr>
              <w:spacing w:line="276" w:lineRule="auto"/>
              <w:jc w:val="both"/>
            </w:pPr>
            <w:r w:rsidRPr="000600DF">
              <w:t>http://data.worldbank.org/indicator/SP.URB.TOTL.IN.ZS/countries</w:t>
            </w:r>
          </w:p>
        </w:tc>
      </w:tr>
      <w:tr w:rsidR="0051740B" w:rsidRPr="000600DF" w14:paraId="53133E52" w14:textId="77777777" w:rsidTr="0051740B">
        <w:trPr>
          <w:trHeight w:val="144"/>
          <w:jc w:val="center"/>
        </w:trPr>
        <w:tc>
          <w:tcPr>
            <w:tcW w:w="1515" w:type="dxa"/>
            <w:vAlign w:val="center"/>
          </w:tcPr>
          <w:p w14:paraId="625C3663" w14:textId="77777777" w:rsidR="0051740B" w:rsidRPr="000600DF" w:rsidRDefault="0051740B" w:rsidP="0060328A">
            <w:pPr>
              <w:spacing w:line="276" w:lineRule="auto"/>
              <w:jc w:val="both"/>
            </w:pPr>
            <w:r w:rsidRPr="000600DF">
              <w:t>Market Agglomeration</w:t>
            </w:r>
          </w:p>
        </w:tc>
        <w:tc>
          <w:tcPr>
            <w:tcW w:w="7617" w:type="dxa"/>
          </w:tcPr>
          <w:p w14:paraId="069F5E24" w14:textId="77777777" w:rsidR="0051740B" w:rsidRPr="000600DF" w:rsidRDefault="0051740B" w:rsidP="0060328A">
            <w:pPr>
              <w:spacing w:line="276" w:lineRule="auto"/>
              <w:jc w:val="both"/>
            </w:pPr>
            <w:r w:rsidRPr="000600DF">
              <w:t xml:space="preserve">The size of the market: </w:t>
            </w:r>
            <w:r>
              <w:t>a</w:t>
            </w:r>
            <w:r w:rsidRPr="000600DF">
              <w:t xml:space="preserve"> combined measure of the domestic market size and the urbanization that later measures the potential agglomeration effect. Calculated as </w:t>
            </w:r>
            <w:r w:rsidRPr="00B12C36">
              <w:t>domestic market urbanization*</w:t>
            </w:r>
          </w:p>
        </w:tc>
        <w:tc>
          <w:tcPr>
            <w:tcW w:w="1650" w:type="dxa"/>
            <w:vAlign w:val="center"/>
          </w:tcPr>
          <w:p w14:paraId="2AEB4D51" w14:textId="77777777" w:rsidR="0051740B" w:rsidRPr="000600DF" w:rsidRDefault="0051740B" w:rsidP="0060328A">
            <w:pPr>
              <w:spacing w:line="276" w:lineRule="auto"/>
              <w:jc w:val="both"/>
            </w:pPr>
          </w:p>
          <w:p w14:paraId="2001E5C8" w14:textId="77777777" w:rsidR="0051740B" w:rsidRPr="000600DF" w:rsidRDefault="0051740B" w:rsidP="0060328A">
            <w:pPr>
              <w:spacing w:line="276" w:lineRule="auto"/>
              <w:jc w:val="both"/>
            </w:pPr>
            <w:r w:rsidRPr="000600DF">
              <w:t>Own calculation</w:t>
            </w:r>
          </w:p>
        </w:tc>
        <w:tc>
          <w:tcPr>
            <w:tcW w:w="2514" w:type="dxa"/>
            <w:vAlign w:val="center"/>
          </w:tcPr>
          <w:p w14:paraId="03D8FCD5" w14:textId="77777777" w:rsidR="0051740B" w:rsidRPr="000600DF" w:rsidRDefault="0051740B" w:rsidP="0060328A">
            <w:pPr>
              <w:spacing w:line="276" w:lineRule="auto"/>
              <w:jc w:val="both"/>
            </w:pPr>
          </w:p>
          <w:p w14:paraId="36681C52" w14:textId="77777777" w:rsidR="0051740B" w:rsidRPr="000600DF" w:rsidRDefault="0051740B" w:rsidP="0060328A">
            <w:pPr>
              <w:spacing w:line="276" w:lineRule="auto"/>
              <w:jc w:val="both"/>
            </w:pPr>
            <w:r w:rsidRPr="000600DF">
              <w:t>-</w:t>
            </w:r>
          </w:p>
        </w:tc>
      </w:tr>
      <w:tr w:rsidR="0051740B" w:rsidRPr="000600DF" w14:paraId="20DE89AB" w14:textId="77777777" w:rsidTr="0051740B">
        <w:trPr>
          <w:trHeight w:val="144"/>
          <w:jc w:val="center"/>
        </w:trPr>
        <w:tc>
          <w:tcPr>
            <w:tcW w:w="1515" w:type="dxa"/>
            <w:vAlign w:val="center"/>
          </w:tcPr>
          <w:p w14:paraId="244AA309" w14:textId="77777777" w:rsidR="0051740B" w:rsidRPr="000600DF" w:rsidRDefault="0051740B" w:rsidP="0060328A">
            <w:pPr>
              <w:spacing w:line="276" w:lineRule="auto"/>
              <w:jc w:val="both"/>
            </w:pPr>
            <w:r w:rsidRPr="000600DF">
              <w:t>Tertiary Education</w:t>
            </w:r>
          </w:p>
        </w:tc>
        <w:tc>
          <w:tcPr>
            <w:tcW w:w="7617" w:type="dxa"/>
          </w:tcPr>
          <w:p w14:paraId="5E5D628A" w14:textId="77777777" w:rsidR="0051740B" w:rsidRPr="000600DF" w:rsidRDefault="0051740B" w:rsidP="0060328A">
            <w:pPr>
              <w:spacing w:line="276" w:lineRule="auto"/>
              <w:jc w:val="both"/>
            </w:pPr>
            <w:r w:rsidRPr="000600DF">
              <w:t xml:space="preserve">Gross enrolment ratio in </w:t>
            </w:r>
            <w:r>
              <w:t>tertiary education, 2011</w:t>
            </w:r>
            <w:r w:rsidRPr="000600DF">
              <w:t xml:space="preserve"> or latest available data.</w:t>
            </w:r>
          </w:p>
        </w:tc>
        <w:tc>
          <w:tcPr>
            <w:tcW w:w="1650" w:type="dxa"/>
            <w:vAlign w:val="center"/>
          </w:tcPr>
          <w:p w14:paraId="3F9A32E8" w14:textId="77777777" w:rsidR="0051740B" w:rsidRPr="000600DF" w:rsidRDefault="0051740B" w:rsidP="0060328A">
            <w:pPr>
              <w:spacing w:line="276" w:lineRule="auto"/>
              <w:jc w:val="both"/>
            </w:pPr>
            <w:r w:rsidRPr="000600DF">
              <w:t>UNESCO</w:t>
            </w:r>
          </w:p>
        </w:tc>
        <w:tc>
          <w:tcPr>
            <w:tcW w:w="2514" w:type="dxa"/>
            <w:vAlign w:val="center"/>
          </w:tcPr>
          <w:p w14:paraId="199FC1E7" w14:textId="77777777" w:rsidR="0051740B" w:rsidRPr="000600DF" w:rsidRDefault="0056176F" w:rsidP="0060328A">
            <w:pPr>
              <w:spacing w:line="276" w:lineRule="auto"/>
              <w:jc w:val="both"/>
            </w:pPr>
            <w:hyperlink r:id="rId21" w:history="1">
              <w:r w:rsidR="0051740B" w:rsidRPr="000600DF">
                <w:t>http://stats.uis.unesco.org/unesco/TableViewer/tableView.aspx?ReportId=167</w:t>
              </w:r>
            </w:hyperlink>
          </w:p>
        </w:tc>
      </w:tr>
      <w:tr w:rsidR="0051740B" w:rsidRPr="000600DF" w14:paraId="73381854" w14:textId="77777777" w:rsidTr="0051740B">
        <w:trPr>
          <w:trHeight w:val="144"/>
          <w:jc w:val="center"/>
        </w:trPr>
        <w:tc>
          <w:tcPr>
            <w:tcW w:w="1515" w:type="dxa"/>
            <w:vAlign w:val="center"/>
          </w:tcPr>
          <w:p w14:paraId="14543B4B" w14:textId="77777777" w:rsidR="0051740B" w:rsidRPr="000600DF" w:rsidRDefault="0051740B" w:rsidP="0060328A">
            <w:pPr>
              <w:spacing w:line="276" w:lineRule="auto"/>
              <w:jc w:val="both"/>
            </w:pPr>
            <w:r w:rsidRPr="000600DF">
              <w:t>Business Risk</w:t>
            </w:r>
          </w:p>
        </w:tc>
        <w:tc>
          <w:tcPr>
            <w:tcW w:w="7617" w:type="dxa"/>
          </w:tcPr>
          <w:p w14:paraId="7E735B5F" w14:textId="77777777" w:rsidR="0051740B" w:rsidRPr="000600DF" w:rsidRDefault="0051740B" w:rsidP="0060328A">
            <w:pPr>
              <w:spacing w:line="276" w:lineRule="auto"/>
              <w:jc w:val="both"/>
            </w:pPr>
            <w:r w:rsidRPr="000600DF">
              <w:t>The business climate rate “assesses the overall business environment quality in a country…It reflects whether corporate financial information is available and reliable, whether the legal system provides fair and efficient creditor protection, and whether a country</w:t>
            </w:r>
            <w:r>
              <w:t>’</w:t>
            </w:r>
            <w:r w:rsidRPr="000600DF">
              <w:t xml:space="preserve">s institutional framework is </w:t>
            </w:r>
            <w:proofErr w:type="spellStart"/>
            <w:r w:rsidRPr="000600DF">
              <w:t>favorable</w:t>
            </w:r>
            <w:proofErr w:type="spellEnd"/>
            <w:r w:rsidRPr="000600DF">
              <w:t xml:space="preserve"> to intercompany transactions” (http://www.trading-safely.com/). It is a part of the </w:t>
            </w:r>
            <w:r w:rsidRPr="00B12C36">
              <w:t>country risk rate</w:t>
            </w:r>
            <w:r w:rsidRPr="000600DF">
              <w:t>. The alphabetical rating is turned to a seven</w:t>
            </w:r>
            <w:r>
              <w:t>-</w:t>
            </w:r>
            <w:r w:rsidRPr="000600DF">
              <w:t>point Likert scale from 1 (</w:t>
            </w:r>
            <w:r>
              <w:t xml:space="preserve">D </w:t>
            </w:r>
            <w:r w:rsidRPr="000600DF">
              <w:t>rating) to</w:t>
            </w:r>
            <w:r>
              <w:t xml:space="preserve"> 7 (A1 rating). December 30, 2012</w:t>
            </w:r>
            <w:r w:rsidRPr="000600DF">
              <w:t xml:space="preserve"> data</w:t>
            </w:r>
          </w:p>
        </w:tc>
        <w:tc>
          <w:tcPr>
            <w:tcW w:w="1650" w:type="dxa"/>
            <w:vAlign w:val="center"/>
          </w:tcPr>
          <w:p w14:paraId="2A855562" w14:textId="77777777" w:rsidR="0051740B" w:rsidRPr="000600DF" w:rsidRDefault="0051740B" w:rsidP="0060328A">
            <w:pPr>
              <w:spacing w:line="276" w:lineRule="auto"/>
              <w:jc w:val="both"/>
            </w:pPr>
            <w:proofErr w:type="spellStart"/>
            <w:r w:rsidRPr="000600DF">
              <w:t>Coface</w:t>
            </w:r>
            <w:proofErr w:type="spellEnd"/>
          </w:p>
        </w:tc>
        <w:tc>
          <w:tcPr>
            <w:tcW w:w="2514" w:type="dxa"/>
            <w:vAlign w:val="center"/>
          </w:tcPr>
          <w:p w14:paraId="58294C78" w14:textId="77777777" w:rsidR="0051740B" w:rsidRPr="000600DF" w:rsidRDefault="0051740B" w:rsidP="0060328A">
            <w:pPr>
              <w:spacing w:line="276" w:lineRule="auto"/>
              <w:jc w:val="both"/>
            </w:pPr>
          </w:p>
          <w:p w14:paraId="43677674" w14:textId="77777777" w:rsidR="0051740B" w:rsidRPr="000600DF" w:rsidRDefault="0051740B" w:rsidP="0060328A">
            <w:pPr>
              <w:spacing w:line="276" w:lineRule="auto"/>
              <w:jc w:val="both"/>
            </w:pPr>
            <w:r w:rsidRPr="000600DF">
              <w:t>http://www.coface.com/CofacePortal/COM_en_EN/pages/home/risks_home/business_climate/rating_table?geoarea-country=&amp;crating=&amp;brating=</w:t>
            </w:r>
          </w:p>
        </w:tc>
      </w:tr>
      <w:tr w:rsidR="0051740B" w:rsidRPr="000600DF" w14:paraId="7107FE5B" w14:textId="77777777" w:rsidTr="0051740B">
        <w:trPr>
          <w:trHeight w:val="144"/>
          <w:jc w:val="center"/>
        </w:trPr>
        <w:tc>
          <w:tcPr>
            <w:tcW w:w="1515" w:type="dxa"/>
            <w:vAlign w:val="center"/>
          </w:tcPr>
          <w:p w14:paraId="4A0A46B3" w14:textId="77777777" w:rsidR="0051740B" w:rsidRPr="000600DF" w:rsidRDefault="0051740B" w:rsidP="0060328A">
            <w:pPr>
              <w:spacing w:line="276" w:lineRule="auto"/>
              <w:jc w:val="both"/>
            </w:pPr>
            <w:r w:rsidRPr="000600DF">
              <w:t>Internet Usage</w:t>
            </w:r>
          </w:p>
        </w:tc>
        <w:tc>
          <w:tcPr>
            <w:tcW w:w="7617" w:type="dxa"/>
          </w:tcPr>
          <w:p w14:paraId="0747285B" w14:textId="77777777" w:rsidR="0051740B" w:rsidRPr="000600DF" w:rsidRDefault="0051740B" w:rsidP="0060328A">
            <w:pPr>
              <w:spacing w:line="276" w:lineRule="auto"/>
              <w:jc w:val="both"/>
            </w:pPr>
            <w:r w:rsidRPr="000600DF">
              <w:t>The number</w:t>
            </w:r>
            <w:r>
              <w:t xml:space="preserve"> of</w:t>
            </w:r>
            <w:r w:rsidRPr="000600DF">
              <w:t xml:space="preserve"> Internet users in a particular c</w:t>
            </w:r>
            <w:r>
              <w:t>ountry per 100 inhabitants, 2012</w:t>
            </w:r>
            <w:r w:rsidRPr="000600DF">
              <w:t xml:space="preserve"> data</w:t>
            </w:r>
          </w:p>
          <w:p w14:paraId="4FE3F10A" w14:textId="77777777" w:rsidR="0051740B" w:rsidRPr="000600DF" w:rsidRDefault="0051740B" w:rsidP="0060328A">
            <w:pPr>
              <w:spacing w:line="276" w:lineRule="auto"/>
              <w:jc w:val="both"/>
            </w:pPr>
          </w:p>
        </w:tc>
        <w:tc>
          <w:tcPr>
            <w:tcW w:w="1650" w:type="dxa"/>
            <w:vAlign w:val="center"/>
          </w:tcPr>
          <w:p w14:paraId="76A2FF7F" w14:textId="77777777" w:rsidR="0051740B" w:rsidRPr="000600DF" w:rsidRDefault="0051740B" w:rsidP="0060328A">
            <w:pPr>
              <w:spacing w:line="276" w:lineRule="auto"/>
              <w:jc w:val="both"/>
            </w:pPr>
            <w:r w:rsidRPr="000600DF">
              <w:t>International Telecommunication Union</w:t>
            </w:r>
          </w:p>
        </w:tc>
        <w:tc>
          <w:tcPr>
            <w:tcW w:w="2514" w:type="dxa"/>
            <w:vAlign w:val="center"/>
          </w:tcPr>
          <w:p w14:paraId="6630966F" w14:textId="77777777" w:rsidR="0051740B" w:rsidRPr="000600DF" w:rsidRDefault="0051740B" w:rsidP="0060328A">
            <w:pPr>
              <w:spacing w:line="276" w:lineRule="auto"/>
              <w:jc w:val="both"/>
            </w:pPr>
            <w:r w:rsidRPr="00E3185E">
              <w:t>http://www.itu.int/en/ITU-D/Statistics/Pages/stat/default.aspx</w:t>
            </w:r>
          </w:p>
        </w:tc>
      </w:tr>
      <w:tr w:rsidR="0051740B" w:rsidRPr="000600DF" w14:paraId="6CF8A90D" w14:textId="77777777" w:rsidTr="0051740B">
        <w:trPr>
          <w:trHeight w:val="144"/>
          <w:jc w:val="center"/>
        </w:trPr>
        <w:tc>
          <w:tcPr>
            <w:tcW w:w="1515" w:type="dxa"/>
            <w:vAlign w:val="center"/>
          </w:tcPr>
          <w:p w14:paraId="5AB5E7B0" w14:textId="77777777" w:rsidR="0051740B" w:rsidRPr="000600DF" w:rsidRDefault="0051740B" w:rsidP="0060328A">
            <w:pPr>
              <w:spacing w:line="276" w:lineRule="auto"/>
              <w:jc w:val="both"/>
            </w:pPr>
            <w:r w:rsidRPr="000600DF">
              <w:t>Corruption</w:t>
            </w:r>
          </w:p>
        </w:tc>
        <w:tc>
          <w:tcPr>
            <w:tcW w:w="7617" w:type="dxa"/>
          </w:tcPr>
          <w:p w14:paraId="0F8623E1" w14:textId="77777777" w:rsidR="0051740B" w:rsidRPr="000600DF" w:rsidRDefault="0051740B" w:rsidP="0060328A">
            <w:pPr>
              <w:spacing w:line="276" w:lineRule="auto"/>
              <w:jc w:val="both"/>
            </w:pPr>
            <w:r w:rsidRPr="000600DF">
              <w:t xml:space="preserve">The Corruption Perceptions Index (CPI) measures the perceived level of public-sector corruption in a country. “The CPI is a </w:t>
            </w:r>
            <w:r>
              <w:t>‘</w:t>
            </w:r>
            <w:r w:rsidRPr="000600DF">
              <w:t>survey of surveys</w:t>
            </w:r>
            <w:r>
              <w:t>’</w:t>
            </w:r>
            <w:r w:rsidRPr="000600DF">
              <w:t xml:space="preserve">, based on 13 different expert and business surveys.” (http://www.transparency.org/policy_research/surveys_indices/cpi/2009 ) Overall </w:t>
            </w:r>
            <w:r w:rsidRPr="000600DF">
              <w:lastRenderedPageBreak/>
              <w:t>performance is measured on a ten</w:t>
            </w:r>
            <w:r>
              <w:t>-</w:t>
            </w:r>
            <w:r w:rsidRPr="000600DF">
              <w:t xml:space="preserve">point </w:t>
            </w:r>
            <w:r>
              <w:t>Likert scale. Data are from 2012</w:t>
            </w:r>
            <w:r w:rsidRPr="000600DF">
              <w:t>.</w:t>
            </w:r>
          </w:p>
        </w:tc>
        <w:tc>
          <w:tcPr>
            <w:tcW w:w="1650" w:type="dxa"/>
            <w:vAlign w:val="center"/>
          </w:tcPr>
          <w:p w14:paraId="281B3985" w14:textId="77777777" w:rsidR="0051740B" w:rsidRPr="000600DF" w:rsidRDefault="0051740B" w:rsidP="0060328A">
            <w:pPr>
              <w:spacing w:line="276" w:lineRule="auto"/>
              <w:jc w:val="both"/>
            </w:pPr>
            <w:r w:rsidRPr="000600DF">
              <w:lastRenderedPageBreak/>
              <w:t>Transparency International</w:t>
            </w:r>
          </w:p>
        </w:tc>
        <w:tc>
          <w:tcPr>
            <w:tcW w:w="2514" w:type="dxa"/>
            <w:vAlign w:val="center"/>
          </w:tcPr>
          <w:p w14:paraId="377A616F" w14:textId="77777777" w:rsidR="0051740B" w:rsidRPr="000600DF" w:rsidRDefault="0051740B" w:rsidP="0060328A">
            <w:pPr>
              <w:spacing w:line="276" w:lineRule="auto"/>
              <w:jc w:val="both"/>
            </w:pPr>
            <w:r w:rsidRPr="00E3185E">
              <w:t>http://cpi.transparency.org/</w:t>
            </w:r>
          </w:p>
        </w:tc>
      </w:tr>
      <w:tr w:rsidR="0051740B" w:rsidRPr="000600DF" w14:paraId="4D5C6976" w14:textId="77777777" w:rsidTr="0051740B">
        <w:trPr>
          <w:trHeight w:val="144"/>
          <w:jc w:val="center"/>
        </w:trPr>
        <w:tc>
          <w:tcPr>
            <w:tcW w:w="1515" w:type="dxa"/>
            <w:vAlign w:val="center"/>
          </w:tcPr>
          <w:p w14:paraId="1A7A4DBD" w14:textId="77777777" w:rsidR="0051740B" w:rsidRPr="000600DF" w:rsidRDefault="0051740B" w:rsidP="0060328A">
            <w:pPr>
              <w:spacing w:line="276" w:lineRule="auto"/>
              <w:jc w:val="both"/>
            </w:pPr>
            <w:r w:rsidRPr="000600DF">
              <w:lastRenderedPageBreak/>
              <w:t>Economic Freedom</w:t>
            </w:r>
          </w:p>
        </w:tc>
        <w:tc>
          <w:tcPr>
            <w:tcW w:w="7617" w:type="dxa"/>
          </w:tcPr>
          <w:p w14:paraId="6105026E" w14:textId="77777777" w:rsidR="0051740B" w:rsidRPr="000600DF" w:rsidRDefault="0051740B" w:rsidP="0060328A">
            <w:pPr>
              <w:spacing w:line="276" w:lineRule="auto"/>
              <w:jc w:val="both"/>
            </w:pPr>
            <w:r w:rsidRPr="000600DF">
              <w:t xml:space="preserve">“Business freedom is a quantitative measure of the ability to start, operate, and close a business that represents the overall burden of regulation, as well as the efficiency of government in the regulatory process. The business freedom score for each country is a number between 0 and 100, with 100 </w:t>
            </w:r>
            <w:proofErr w:type="spellStart"/>
            <w:r w:rsidRPr="000600DF">
              <w:t>equaling</w:t>
            </w:r>
            <w:proofErr w:type="spellEnd"/>
            <w:r w:rsidRPr="000600DF">
              <w:t xml:space="preserve"> the freest business environment. The score is based on 10 factors, all weighted equally, using data from the World Bank’s </w:t>
            </w:r>
            <w:r w:rsidRPr="000600DF">
              <w:rPr>
                <w:i/>
                <w:iCs/>
              </w:rPr>
              <w:t xml:space="preserve">Doing Business </w:t>
            </w:r>
            <w:r w:rsidRPr="000600DF">
              <w:t>study</w:t>
            </w:r>
            <w:r>
              <w:t>.</w:t>
            </w:r>
            <w:r w:rsidRPr="000600DF">
              <w:t xml:space="preserve">” </w:t>
            </w:r>
            <w:r w:rsidRPr="00D03126">
              <w:t>(</w:t>
            </w:r>
            <w:hyperlink r:id="rId22" w:history="1">
              <w:r w:rsidRPr="00D03126">
                <w:rPr>
                  <w:rStyle w:val="Hyperlink"/>
                </w:rPr>
                <w:t>http://www.heritage.org/Index/pdf/Index09_Methodology.pdf</w:t>
              </w:r>
            </w:hyperlink>
            <w:r>
              <w:t>). Data are from 2011</w:t>
            </w:r>
            <w:r w:rsidRPr="000600DF">
              <w:t xml:space="preserve">. </w:t>
            </w:r>
          </w:p>
        </w:tc>
        <w:tc>
          <w:tcPr>
            <w:tcW w:w="1650" w:type="dxa"/>
            <w:vAlign w:val="center"/>
          </w:tcPr>
          <w:p w14:paraId="183B2DB3" w14:textId="77777777" w:rsidR="0051740B" w:rsidRPr="000600DF" w:rsidRDefault="0051740B" w:rsidP="0060328A">
            <w:pPr>
              <w:spacing w:line="276" w:lineRule="auto"/>
              <w:jc w:val="both"/>
            </w:pPr>
          </w:p>
          <w:p w14:paraId="3154E98B" w14:textId="77777777" w:rsidR="0051740B" w:rsidRPr="000600DF" w:rsidRDefault="0051740B" w:rsidP="0060328A">
            <w:pPr>
              <w:spacing w:line="276" w:lineRule="auto"/>
              <w:jc w:val="both"/>
            </w:pPr>
            <w:r w:rsidRPr="000600DF">
              <w:t>Heritage Foundation/</w:t>
            </w:r>
          </w:p>
          <w:p w14:paraId="21905835" w14:textId="77777777" w:rsidR="0051740B" w:rsidRPr="000600DF" w:rsidRDefault="0051740B" w:rsidP="0060328A">
            <w:pPr>
              <w:spacing w:line="276" w:lineRule="auto"/>
              <w:jc w:val="both"/>
            </w:pPr>
            <w:r w:rsidRPr="000600DF">
              <w:t>World Bank</w:t>
            </w:r>
          </w:p>
        </w:tc>
        <w:tc>
          <w:tcPr>
            <w:tcW w:w="2514" w:type="dxa"/>
            <w:vAlign w:val="center"/>
          </w:tcPr>
          <w:p w14:paraId="3994B382" w14:textId="77777777" w:rsidR="0051740B" w:rsidRPr="000600DF" w:rsidRDefault="0051740B" w:rsidP="0060328A">
            <w:pPr>
              <w:spacing w:line="276" w:lineRule="auto"/>
              <w:jc w:val="both"/>
            </w:pPr>
          </w:p>
          <w:p w14:paraId="18B75C4B" w14:textId="77777777" w:rsidR="0051740B" w:rsidRPr="000600DF" w:rsidRDefault="0051740B" w:rsidP="0060328A">
            <w:pPr>
              <w:spacing w:line="276" w:lineRule="auto"/>
              <w:jc w:val="both"/>
            </w:pPr>
            <w:r w:rsidRPr="000600DF">
              <w:t>http://www.heritage.org/index/explore.aspx</w:t>
            </w:r>
          </w:p>
        </w:tc>
      </w:tr>
      <w:tr w:rsidR="0051740B" w:rsidRPr="000600DF" w14:paraId="50E28042" w14:textId="77777777" w:rsidTr="0051740B">
        <w:trPr>
          <w:trHeight w:val="144"/>
          <w:jc w:val="center"/>
        </w:trPr>
        <w:tc>
          <w:tcPr>
            <w:tcW w:w="1515" w:type="dxa"/>
            <w:vAlign w:val="center"/>
          </w:tcPr>
          <w:p w14:paraId="6D46A0E4" w14:textId="77777777" w:rsidR="0051740B" w:rsidRPr="000600DF" w:rsidRDefault="0051740B" w:rsidP="0060328A">
            <w:pPr>
              <w:spacing w:line="276" w:lineRule="auto"/>
              <w:jc w:val="both"/>
            </w:pPr>
            <w:r w:rsidRPr="000600DF">
              <w:t>Tech Absorption</w:t>
            </w:r>
          </w:p>
        </w:tc>
        <w:tc>
          <w:tcPr>
            <w:tcW w:w="7617" w:type="dxa"/>
          </w:tcPr>
          <w:p w14:paraId="4997408A" w14:textId="77777777" w:rsidR="0051740B" w:rsidRPr="000600DF" w:rsidRDefault="0051740B" w:rsidP="0060328A">
            <w:pPr>
              <w:spacing w:line="276" w:lineRule="auto"/>
              <w:jc w:val="both"/>
            </w:pPr>
            <w:r w:rsidRPr="000600DF">
              <w:t>Firm</w:t>
            </w:r>
            <w:r>
              <w:t>-</w:t>
            </w:r>
            <w:r w:rsidRPr="000600DF">
              <w:t>level technology absorption capability: “Companies in your country are (1 = not able to absorb new technology, 7 = aggressive in absorbing new technology)”</w:t>
            </w:r>
          </w:p>
        </w:tc>
        <w:tc>
          <w:tcPr>
            <w:tcW w:w="1650" w:type="dxa"/>
            <w:vAlign w:val="center"/>
          </w:tcPr>
          <w:p w14:paraId="4A93D5C2" w14:textId="77777777" w:rsidR="0051740B" w:rsidRPr="000600DF" w:rsidRDefault="0051740B" w:rsidP="0060328A">
            <w:pPr>
              <w:spacing w:line="276" w:lineRule="auto"/>
              <w:jc w:val="both"/>
            </w:pPr>
            <w:r w:rsidRPr="000600DF">
              <w:t>World Economic Forum</w:t>
            </w:r>
          </w:p>
        </w:tc>
        <w:tc>
          <w:tcPr>
            <w:tcW w:w="2514" w:type="dxa"/>
            <w:vAlign w:val="center"/>
          </w:tcPr>
          <w:p w14:paraId="247C5556" w14:textId="77777777" w:rsidR="0051740B" w:rsidRPr="000600DF" w:rsidRDefault="0051740B" w:rsidP="0060328A">
            <w:pPr>
              <w:spacing w:line="276" w:lineRule="auto"/>
              <w:jc w:val="both"/>
            </w:pPr>
            <w:r w:rsidRPr="000600DF">
              <w:t xml:space="preserve">The Global Competitiveness Report </w:t>
            </w:r>
            <w:r>
              <w:t>2005-2006, 2006-2007, 2007-2008, 2008-2009, 2009-2010</w:t>
            </w:r>
            <w:r w:rsidRPr="000600DF">
              <w:t>,</w:t>
            </w:r>
          </w:p>
        </w:tc>
      </w:tr>
      <w:tr w:rsidR="0051740B" w:rsidRPr="000600DF" w14:paraId="6389B5AE" w14:textId="77777777" w:rsidTr="0051740B">
        <w:trPr>
          <w:trHeight w:val="144"/>
          <w:jc w:val="center"/>
        </w:trPr>
        <w:tc>
          <w:tcPr>
            <w:tcW w:w="1515" w:type="dxa"/>
            <w:vAlign w:val="center"/>
          </w:tcPr>
          <w:p w14:paraId="1C5F50C6" w14:textId="77777777" w:rsidR="0051740B" w:rsidRPr="000600DF" w:rsidRDefault="0051740B" w:rsidP="0060328A">
            <w:pPr>
              <w:spacing w:line="276" w:lineRule="auto"/>
              <w:jc w:val="both"/>
            </w:pPr>
            <w:r w:rsidRPr="000600DF">
              <w:t>Staff Training</w:t>
            </w:r>
          </w:p>
        </w:tc>
        <w:tc>
          <w:tcPr>
            <w:tcW w:w="7617" w:type="dxa"/>
          </w:tcPr>
          <w:p w14:paraId="0FAA8BE2" w14:textId="77777777" w:rsidR="0051740B" w:rsidRPr="000600DF" w:rsidRDefault="0051740B" w:rsidP="0060328A">
            <w:pPr>
              <w:spacing w:line="276" w:lineRule="auto"/>
              <w:jc w:val="both"/>
            </w:pPr>
            <w:r w:rsidRPr="000600DF">
              <w:t>The extent of staff training: “To what extent do companies in your country invest in training and employee development? (1 = hardly at all; 7 = to a great extent)”</w:t>
            </w:r>
          </w:p>
        </w:tc>
        <w:tc>
          <w:tcPr>
            <w:tcW w:w="1650" w:type="dxa"/>
            <w:vAlign w:val="center"/>
          </w:tcPr>
          <w:p w14:paraId="1CC50950" w14:textId="77777777" w:rsidR="0051740B" w:rsidRPr="000600DF" w:rsidRDefault="0051740B" w:rsidP="0060328A">
            <w:pPr>
              <w:spacing w:line="276" w:lineRule="auto"/>
              <w:jc w:val="both"/>
            </w:pPr>
            <w:r w:rsidRPr="000600DF">
              <w:t>World Economic Forum</w:t>
            </w:r>
          </w:p>
        </w:tc>
        <w:tc>
          <w:tcPr>
            <w:tcW w:w="2514" w:type="dxa"/>
            <w:vAlign w:val="center"/>
          </w:tcPr>
          <w:p w14:paraId="4E02FBFB" w14:textId="77777777" w:rsidR="0051740B" w:rsidRPr="000600DF" w:rsidRDefault="0051740B" w:rsidP="0060328A">
            <w:pPr>
              <w:spacing w:line="276" w:lineRule="auto"/>
              <w:jc w:val="both"/>
            </w:pPr>
            <w:r w:rsidRPr="000600DF">
              <w:t xml:space="preserve">The Global Competitiveness Report </w:t>
            </w:r>
            <w:r>
              <w:t>2005-2006, 2006-2007, 2007-2008, 2008-2009, 2009-2010</w:t>
            </w:r>
            <w:r w:rsidRPr="000600DF">
              <w:t>,</w:t>
            </w:r>
          </w:p>
        </w:tc>
      </w:tr>
      <w:tr w:rsidR="0051740B" w:rsidRPr="000600DF" w14:paraId="1347B002" w14:textId="77777777" w:rsidTr="0051740B">
        <w:trPr>
          <w:trHeight w:val="144"/>
          <w:jc w:val="center"/>
        </w:trPr>
        <w:tc>
          <w:tcPr>
            <w:tcW w:w="1515" w:type="dxa"/>
            <w:vAlign w:val="center"/>
          </w:tcPr>
          <w:p w14:paraId="350BCAD3" w14:textId="77777777" w:rsidR="0051740B" w:rsidRPr="000600DF" w:rsidRDefault="0051740B" w:rsidP="0060328A">
            <w:pPr>
              <w:spacing w:line="276" w:lineRule="auto"/>
              <w:jc w:val="both"/>
            </w:pPr>
            <w:r w:rsidRPr="000600DF">
              <w:t>Market Dominance</w:t>
            </w:r>
          </w:p>
        </w:tc>
        <w:tc>
          <w:tcPr>
            <w:tcW w:w="7617" w:type="dxa"/>
          </w:tcPr>
          <w:p w14:paraId="2070C8BC" w14:textId="77777777" w:rsidR="0051740B" w:rsidRPr="000600DF" w:rsidRDefault="0051740B" w:rsidP="0060328A">
            <w:pPr>
              <w:spacing w:line="276" w:lineRule="auto"/>
              <w:jc w:val="both"/>
            </w:pPr>
            <w:r w:rsidRPr="000600DF">
              <w:t>Extent of market dominance: “Corporate activity in your country is (1 = dominated by a few business groups, 7 = spread among many firms)”</w:t>
            </w:r>
          </w:p>
        </w:tc>
        <w:tc>
          <w:tcPr>
            <w:tcW w:w="1650" w:type="dxa"/>
            <w:vAlign w:val="center"/>
          </w:tcPr>
          <w:p w14:paraId="21D1A419" w14:textId="77777777" w:rsidR="0051740B" w:rsidRPr="000600DF" w:rsidRDefault="0051740B" w:rsidP="0060328A">
            <w:pPr>
              <w:spacing w:line="276" w:lineRule="auto"/>
              <w:jc w:val="both"/>
            </w:pPr>
            <w:r w:rsidRPr="000600DF">
              <w:t>World Economic Forum</w:t>
            </w:r>
          </w:p>
        </w:tc>
        <w:tc>
          <w:tcPr>
            <w:tcW w:w="2514" w:type="dxa"/>
            <w:vAlign w:val="center"/>
          </w:tcPr>
          <w:p w14:paraId="029117B8" w14:textId="77777777" w:rsidR="0051740B" w:rsidRPr="000600DF" w:rsidRDefault="0051740B" w:rsidP="0060328A">
            <w:pPr>
              <w:spacing w:line="276" w:lineRule="auto"/>
              <w:jc w:val="both"/>
            </w:pPr>
            <w:r w:rsidRPr="000600DF">
              <w:t xml:space="preserve">The Global Competitiveness Report </w:t>
            </w:r>
            <w:r>
              <w:t>2005-2006, 2006-2007, 2007-2008, 2008-2009, 2009-2010</w:t>
            </w:r>
            <w:r w:rsidRPr="000600DF">
              <w:t>,</w:t>
            </w:r>
          </w:p>
        </w:tc>
      </w:tr>
      <w:tr w:rsidR="0051740B" w:rsidRPr="000600DF" w14:paraId="2BAFEDD5" w14:textId="77777777" w:rsidTr="0051740B">
        <w:trPr>
          <w:trHeight w:val="304"/>
          <w:jc w:val="center"/>
        </w:trPr>
        <w:tc>
          <w:tcPr>
            <w:tcW w:w="1515" w:type="dxa"/>
            <w:vAlign w:val="center"/>
          </w:tcPr>
          <w:p w14:paraId="4037FF1E" w14:textId="77777777" w:rsidR="0051740B" w:rsidRPr="000600DF" w:rsidRDefault="0051740B" w:rsidP="0060328A">
            <w:pPr>
              <w:spacing w:line="276" w:lineRule="auto"/>
              <w:jc w:val="both"/>
            </w:pPr>
            <w:r w:rsidRPr="000600DF">
              <w:t>Technology Transfer</w:t>
            </w:r>
          </w:p>
        </w:tc>
        <w:tc>
          <w:tcPr>
            <w:tcW w:w="7617" w:type="dxa"/>
          </w:tcPr>
          <w:p w14:paraId="3F42E9D4" w14:textId="77777777" w:rsidR="0051740B" w:rsidRPr="000600DF" w:rsidRDefault="0051740B" w:rsidP="0060328A">
            <w:pPr>
              <w:spacing w:line="276" w:lineRule="auto"/>
              <w:jc w:val="both"/>
            </w:pPr>
            <w:r w:rsidRPr="000600DF">
              <w:t>These are the innovation index points from GCI: a complex measure of innovation</w:t>
            </w:r>
            <w:r>
              <w:t>,</w:t>
            </w:r>
            <w:r w:rsidRPr="000600DF">
              <w:t xml:space="preserve"> including investment in research and development (R&amp;D) by the private sector, the presence of high-quality scientific research institutions, the collaboration in research between universities and industry, and the protection of intellectual property</w:t>
            </w:r>
          </w:p>
        </w:tc>
        <w:tc>
          <w:tcPr>
            <w:tcW w:w="1650" w:type="dxa"/>
            <w:vAlign w:val="center"/>
          </w:tcPr>
          <w:p w14:paraId="0511523F" w14:textId="77777777" w:rsidR="0051740B" w:rsidRPr="000600DF" w:rsidRDefault="0051740B" w:rsidP="0060328A">
            <w:pPr>
              <w:spacing w:line="276" w:lineRule="auto"/>
              <w:jc w:val="both"/>
            </w:pPr>
            <w:r w:rsidRPr="000600DF">
              <w:t>World Economic Forum</w:t>
            </w:r>
          </w:p>
        </w:tc>
        <w:tc>
          <w:tcPr>
            <w:tcW w:w="2514" w:type="dxa"/>
            <w:vAlign w:val="center"/>
          </w:tcPr>
          <w:p w14:paraId="048CE167" w14:textId="77777777" w:rsidR="0051740B" w:rsidRPr="000600DF" w:rsidRDefault="0051740B" w:rsidP="0060328A">
            <w:pPr>
              <w:spacing w:line="276" w:lineRule="auto"/>
              <w:jc w:val="both"/>
            </w:pPr>
            <w:r w:rsidRPr="000600DF">
              <w:t xml:space="preserve">The Global Competitiveness Report </w:t>
            </w:r>
            <w:r>
              <w:t>2005-2006, 2006-2007, 2007-2008, 2008-2009, 2009-2010</w:t>
            </w:r>
            <w:r w:rsidRPr="000600DF">
              <w:t>,</w:t>
            </w:r>
          </w:p>
        </w:tc>
      </w:tr>
      <w:tr w:rsidR="0051740B" w:rsidRPr="000600DF" w14:paraId="648D049B" w14:textId="77777777" w:rsidTr="0051740B">
        <w:trPr>
          <w:trHeight w:val="304"/>
          <w:jc w:val="center"/>
        </w:trPr>
        <w:tc>
          <w:tcPr>
            <w:tcW w:w="1515" w:type="dxa"/>
            <w:vAlign w:val="center"/>
          </w:tcPr>
          <w:p w14:paraId="1743CDD0" w14:textId="77777777" w:rsidR="0051740B" w:rsidRPr="000600DF" w:rsidRDefault="0051740B" w:rsidP="0060328A">
            <w:pPr>
              <w:spacing w:line="276" w:lineRule="auto"/>
              <w:jc w:val="both"/>
            </w:pPr>
            <w:r w:rsidRPr="000600DF">
              <w:t>GERD</w:t>
            </w:r>
          </w:p>
        </w:tc>
        <w:tc>
          <w:tcPr>
            <w:tcW w:w="7617" w:type="dxa"/>
          </w:tcPr>
          <w:p w14:paraId="1F3B5857" w14:textId="77777777" w:rsidR="0051740B" w:rsidRPr="000600DF" w:rsidRDefault="0051740B" w:rsidP="0060328A">
            <w:pPr>
              <w:spacing w:line="276" w:lineRule="auto"/>
              <w:jc w:val="both"/>
            </w:pPr>
            <w:r w:rsidRPr="000600DF">
              <w:t xml:space="preserve">Gross domestic expenditure on </w:t>
            </w:r>
            <w:r>
              <w:t>R&amp;D</w:t>
            </w:r>
            <w:r w:rsidRPr="000600DF">
              <w:t xml:space="preserve"> (GERD) as a percentage of GDP</w:t>
            </w:r>
            <w:r>
              <w:t>, year 2011</w:t>
            </w:r>
            <w:r w:rsidRPr="000600DF">
              <w:t xml:space="preserve"> or latest available data</w:t>
            </w:r>
            <w:r>
              <w:t>;</w:t>
            </w:r>
            <w:r w:rsidRPr="000600DF">
              <w:t xml:space="preserve"> Puert</w:t>
            </w:r>
            <w:r>
              <w:t xml:space="preserve">o Rico, Dominican Republic, </w:t>
            </w:r>
            <w:r w:rsidRPr="000600DF">
              <w:t>United Arab Emirates</w:t>
            </w:r>
            <w:r>
              <w:t>, and some African countries</w:t>
            </w:r>
            <w:r w:rsidRPr="000600DF">
              <w:t xml:space="preserve"> are estimated</w:t>
            </w:r>
          </w:p>
        </w:tc>
        <w:tc>
          <w:tcPr>
            <w:tcW w:w="1650" w:type="dxa"/>
            <w:vAlign w:val="center"/>
          </w:tcPr>
          <w:p w14:paraId="42B8C8CA" w14:textId="77777777" w:rsidR="0051740B" w:rsidRPr="000600DF" w:rsidRDefault="0051740B" w:rsidP="0060328A">
            <w:pPr>
              <w:spacing w:line="276" w:lineRule="auto"/>
              <w:jc w:val="both"/>
            </w:pPr>
            <w:r w:rsidRPr="000600DF">
              <w:t>UNESCO</w:t>
            </w:r>
          </w:p>
        </w:tc>
        <w:tc>
          <w:tcPr>
            <w:tcW w:w="2514" w:type="dxa"/>
            <w:vAlign w:val="center"/>
          </w:tcPr>
          <w:p w14:paraId="45FBB64A" w14:textId="77777777" w:rsidR="0051740B" w:rsidRPr="00D03126" w:rsidRDefault="0056176F" w:rsidP="0060328A">
            <w:pPr>
              <w:spacing w:line="276" w:lineRule="auto"/>
              <w:jc w:val="both"/>
            </w:pPr>
            <w:hyperlink r:id="rId23" w:history="1">
              <w:r w:rsidR="0051740B" w:rsidRPr="00D03126">
                <w:rPr>
                  <w:rStyle w:val="Hyperlink"/>
                </w:rPr>
                <w:t>http://stats.uis.unesco.org/unesco/TableViewer/tableView.aspx?ReportId=2656</w:t>
              </w:r>
            </w:hyperlink>
          </w:p>
        </w:tc>
      </w:tr>
      <w:tr w:rsidR="0051740B" w:rsidRPr="000600DF" w14:paraId="579329E7" w14:textId="77777777" w:rsidTr="0051740B">
        <w:trPr>
          <w:trHeight w:val="144"/>
          <w:jc w:val="center"/>
        </w:trPr>
        <w:tc>
          <w:tcPr>
            <w:tcW w:w="1515" w:type="dxa"/>
            <w:vAlign w:val="center"/>
          </w:tcPr>
          <w:p w14:paraId="10F69257" w14:textId="77777777" w:rsidR="0051740B" w:rsidRPr="000600DF" w:rsidRDefault="0051740B" w:rsidP="0060328A">
            <w:pPr>
              <w:spacing w:line="276" w:lineRule="auto"/>
              <w:jc w:val="both"/>
            </w:pPr>
            <w:r w:rsidRPr="000600DF">
              <w:t>Business Strategy</w:t>
            </w:r>
          </w:p>
        </w:tc>
        <w:tc>
          <w:tcPr>
            <w:tcW w:w="7617" w:type="dxa"/>
          </w:tcPr>
          <w:p w14:paraId="5E58D9E3" w14:textId="77777777" w:rsidR="0051740B" w:rsidRPr="000600DF" w:rsidRDefault="0051740B" w:rsidP="0060328A">
            <w:pPr>
              <w:spacing w:line="276" w:lineRule="auto"/>
              <w:jc w:val="both"/>
            </w:pPr>
            <w:r w:rsidRPr="000600DF">
              <w:t>Refers to the ability of companies to pursue distinctive strategies, which involves differentiated positioning and innovative means of production and service delivery</w:t>
            </w:r>
          </w:p>
        </w:tc>
        <w:tc>
          <w:tcPr>
            <w:tcW w:w="1650" w:type="dxa"/>
            <w:vAlign w:val="center"/>
          </w:tcPr>
          <w:p w14:paraId="11ABC1D8" w14:textId="77777777" w:rsidR="0051740B" w:rsidRPr="000600DF" w:rsidRDefault="0051740B" w:rsidP="0060328A">
            <w:pPr>
              <w:spacing w:line="276" w:lineRule="auto"/>
              <w:jc w:val="both"/>
            </w:pPr>
            <w:r w:rsidRPr="000600DF">
              <w:t>World Economic Forum</w:t>
            </w:r>
          </w:p>
        </w:tc>
        <w:tc>
          <w:tcPr>
            <w:tcW w:w="2514" w:type="dxa"/>
            <w:vAlign w:val="center"/>
          </w:tcPr>
          <w:p w14:paraId="05382FEC" w14:textId="77777777" w:rsidR="0051740B" w:rsidRPr="000600DF" w:rsidRDefault="0051740B" w:rsidP="0060328A">
            <w:pPr>
              <w:spacing w:line="276" w:lineRule="auto"/>
              <w:jc w:val="both"/>
            </w:pPr>
            <w:r w:rsidRPr="000600DF">
              <w:t xml:space="preserve">The Global Competitiveness Report </w:t>
            </w:r>
            <w:r>
              <w:t>2005-2006, 2006-2007, 2007-2008, 2008-2009, 2009-2010</w:t>
            </w:r>
            <w:r w:rsidRPr="000600DF">
              <w:t xml:space="preserve">, </w:t>
            </w:r>
          </w:p>
        </w:tc>
      </w:tr>
      <w:tr w:rsidR="0051740B" w:rsidRPr="000600DF" w14:paraId="503BFFE3" w14:textId="77777777" w:rsidTr="0051740B">
        <w:trPr>
          <w:trHeight w:val="144"/>
          <w:jc w:val="center"/>
        </w:trPr>
        <w:tc>
          <w:tcPr>
            <w:tcW w:w="1515" w:type="dxa"/>
            <w:vAlign w:val="center"/>
          </w:tcPr>
          <w:p w14:paraId="43BB7376" w14:textId="77777777" w:rsidR="0051740B" w:rsidRPr="000600DF" w:rsidRDefault="0051740B" w:rsidP="0060328A">
            <w:pPr>
              <w:spacing w:line="276" w:lineRule="auto"/>
              <w:jc w:val="both"/>
            </w:pPr>
            <w:r w:rsidRPr="000600DF">
              <w:lastRenderedPageBreak/>
              <w:t>Globalization</w:t>
            </w:r>
          </w:p>
        </w:tc>
        <w:tc>
          <w:tcPr>
            <w:tcW w:w="7617" w:type="dxa"/>
          </w:tcPr>
          <w:p w14:paraId="094948F7" w14:textId="77777777" w:rsidR="0051740B" w:rsidRPr="000600DF" w:rsidRDefault="0051740B" w:rsidP="0060328A">
            <w:pPr>
              <w:spacing w:line="276" w:lineRule="auto"/>
              <w:jc w:val="both"/>
            </w:pPr>
            <w:r w:rsidRPr="000600DF">
              <w:t xml:space="preserve">A part of the </w:t>
            </w:r>
            <w:r w:rsidRPr="008661EB">
              <w:t>Globalization Index</w:t>
            </w:r>
            <w:r w:rsidRPr="000600DF">
              <w:t xml:space="preserve"> measuring the economic dimension of globalization. The variable involves the actual flows of trade, foreign direct investment, portfolio investment</w:t>
            </w:r>
            <w:r>
              <w:t>,</w:t>
            </w:r>
            <w:r w:rsidRPr="000600DF">
              <w:t xml:space="preserve"> and income payments to foreign nationals</w:t>
            </w:r>
            <w:r>
              <w:t>,</w:t>
            </w:r>
            <w:r w:rsidRPr="000600DF">
              <w:t xml:space="preserve"> as well as restrictions of hidden import barriers, mean tariff rate, taxes on international trade</w:t>
            </w:r>
            <w:r>
              <w:t>,</w:t>
            </w:r>
            <w:r w:rsidRPr="000600DF">
              <w:t xml:space="preserve"> and capital account restrictions. Data are from the 2</w:t>
            </w:r>
            <w:r>
              <w:t>013 report and based on the 2010</w:t>
            </w:r>
            <w:r w:rsidRPr="000600DF">
              <w:t xml:space="preserve"> survey. </w:t>
            </w:r>
            <w:hyperlink r:id="rId24" w:history="1">
              <w:r w:rsidRPr="00435A41">
                <w:rPr>
                  <w:rStyle w:val="Hyperlink"/>
                </w:rPr>
                <w:t>http://globalization.kof.ethz.ch/media/filer_public/2013/03/25/rankings_2013.pdf</w:t>
              </w:r>
            </w:hyperlink>
          </w:p>
        </w:tc>
        <w:tc>
          <w:tcPr>
            <w:tcW w:w="1650" w:type="dxa"/>
            <w:vAlign w:val="center"/>
          </w:tcPr>
          <w:p w14:paraId="5B80F010" w14:textId="77777777" w:rsidR="0051740B" w:rsidRPr="000600DF" w:rsidRDefault="0051740B" w:rsidP="0060328A">
            <w:pPr>
              <w:spacing w:line="276" w:lineRule="auto"/>
              <w:jc w:val="both"/>
            </w:pPr>
            <w:r w:rsidRPr="000600DF">
              <w:t>KOF Swiss Economic Institute</w:t>
            </w:r>
          </w:p>
        </w:tc>
        <w:tc>
          <w:tcPr>
            <w:tcW w:w="2514" w:type="dxa"/>
            <w:vAlign w:val="center"/>
          </w:tcPr>
          <w:p w14:paraId="7C8688D3" w14:textId="77777777" w:rsidR="0051740B" w:rsidRPr="000600DF" w:rsidRDefault="0051740B" w:rsidP="0060328A">
            <w:pPr>
              <w:spacing w:line="276" w:lineRule="auto"/>
              <w:jc w:val="both"/>
            </w:pPr>
            <w:proofErr w:type="spellStart"/>
            <w:r w:rsidRPr="000600DF">
              <w:t>Dreher</w:t>
            </w:r>
            <w:proofErr w:type="spellEnd"/>
            <w:r w:rsidRPr="000600DF">
              <w:t>, A</w:t>
            </w:r>
            <w:r>
              <w:t>.</w:t>
            </w:r>
            <w:r w:rsidRPr="000600DF">
              <w:t xml:space="preserve"> (2006)</w:t>
            </w:r>
            <w:r>
              <w:t>.</w:t>
            </w:r>
            <w:r w:rsidRPr="000600DF">
              <w:t xml:space="preserve"> </w:t>
            </w:r>
            <w:hyperlink r:id="rId25" w:history="1">
              <w:r w:rsidRPr="000600DF">
                <w:t>Does Globalization Affect Growth? Evidence from a new Index of Globalization</w:t>
              </w:r>
            </w:hyperlink>
            <w:r w:rsidRPr="000600DF">
              <w:t xml:space="preserve">, </w:t>
            </w:r>
            <w:r w:rsidRPr="000600DF">
              <w:rPr>
                <w:i/>
                <w:iCs/>
              </w:rPr>
              <w:t>Applied</w:t>
            </w:r>
            <w:r w:rsidRPr="000600DF">
              <w:rPr>
                <w:rStyle w:val="Emphasis"/>
              </w:rPr>
              <w:t xml:space="preserve"> </w:t>
            </w:r>
            <w:r w:rsidRPr="000600DF">
              <w:rPr>
                <w:i/>
                <w:iCs/>
              </w:rPr>
              <w:t>Economics 38</w:t>
            </w:r>
            <w:r w:rsidRPr="000600DF">
              <w:t>, 10: 1091-1110.</w:t>
            </w:r>
          </w:p>
        </w:tc>
      </w:tr>
      <w:tr w:rsidR="0051740B" w:rsidRPr="000600DF" w14:paraId="2A3E5109" w14:textId="77777777" w:rsidTr="0051740B">
        <w:trPr>
          <w:trHeight w:val="144"/>
          <w:jc w:val="center"/>
        </w:trPr>
        <w:tc>
          <w:tcPr>
            <w:tcW w:w="1515" w:type="dxa"/>
            <w:vAlign w:val="center"/>
          </w:tcPr>
          <w:p w14:paraId="28D47D69" w14:textId="77777777" w:rsidR="0051740B" w:rsidRPr="000600DF" w:rsidRDefault="0051740B" w:rsidP="0060328A">
            <w:pPr>
              <w:spacing w:line="276" w:lineRule="auto"/>
              <w:jc w:val="both"/>
            </w:pPr>
            <w:r w:rsidRPr="000600DF">
              <w:t>Depth of Capital Market</w:t>
            </w:r>
          </w:p>
        </w:tc>
        <w:tc>
          <w:tcPr>
            <w:tcW w:w="7617" w:type="dxa"/>
          </w:tcPr>
          <w:p w14:paraId="7ADBE5BB" w14:textId="77777777" w:rsidR="0051740B" w:rsidRPr="00B12C36" w:rsidRDefault="0051740B" w:rsidP="0060328A">
            <w:pPr>
              <w:spacing w:line="276" w:lineRule="auto"/>
              <w:jc w:val="both"/>
              <w:rPr>
                <w:b/>
              </w:rPr>
            </w:pPr>
            <w:r w:rsidRPr="000600DF">
              <w:t xml:space="preserve">The </w:t>
            </w:r>
            <w:r w:rsidRPr="00B12C36">
              <w:t>depth of capital market</w:t>
            </w:r>
            <w:r w:rsidRPr="000600DF">
              <w:t xml:space="preserve"> is one of the six sub-indices of the </w:t>
            </w:r>
            <w:r w:rsidRPr="008661EB">
              <w:t>Venture Capital and Private Equity Index</w:t>
            </w:r>
            <w:r>
              <w:t>.</w:t>
            </w:r>
            <w:r w:rsidRPr="000600DF">
              <w:t xml:space="preserve"> This variable is a complex measure of the size and liquidity of the stock market, level of IPO, M&amp;A</w:t>
            </w:r>
            <w:r>
              <w:t>,</w:t>
            </w:r>
            <w:r w:rsidRPr="000600DF">
              <w:t xml:space="preserve"> and debt and credit market activity. Note that there were some meth</w:t>
            </w:r>
            <w:r>
              <w:t>odological changes over the 2002</w:t>
            </w:r>
            <w:r w:rsidRPr="000600DF">
              <w:t>-2012 time period</w:t>
            </w:r>
            <w:r>
              <w:t>,</w:t>
            </w:r>
            <w:r w:rsidRPr="000600DF">
              <w:t xml:space="preserve"> so comparison</w:t>
            </w:r>
            <w:r>
              <w:t xml:space="preserve"> to</w:t>
            </w:r>
            <w:r w:rsidRPr="000600DF">
              <w:t xml:space="preserve"> previous years is not perfect. The dataset is provided by Alexander Groh.*</w:t>
            </w:r>
          </w:p>
        </w:tc>
        <w:tc>
          <w:tcPr>
            <w:tcW w:w="1650" w:type="dxa"/>
          </w:tcPr>
          <w:p w14:paraId="610926CD" w14:textId="77777777" w:rsidR="0051740B" w:rsidRPr="000600DF" w:rsidRDefault="0051740B" w:rsidP="0060328A">
            <w:pPr>
              <w:spacing w:line="276" w:lineRule="auto"/>
              <w:jc w:val="both"/>
            </w:pPr>
            <w:r w:rsidRPr="000600DF">
              <w:t>EMLYON Business School</w:t>
            </w:r>
            <w:r>
              <w:t>,</w:t>
            </w:r>
            <w:r w:rsidRPr="000600DF">
              <w:t xml:space="preserve"> France and IESE Business</w:t>
            </w:r>
          </w:p>
          <w:p w14:paraId="372267A8" w14:textId="77777777" w:rsidR="0051740B" w:rsidRPr="000600DF" w:rsidRDefault="0051740B" w:rsidP="0060328A">
            <w:pPr>
              <w:spacing w:line="276" w:lineRule="auto"/>
              <w:jc w:val="both"/>
            </w:pPr>
            <w:r w:rsidRPr="000600DF">
              <w:t>School, Barcelona, Spain</w:t>
            </w:r>
          </w:p>
        </w:tc>
        <w:tc>
          <w:tcPr>
            <w:tcW w:w="2514" w:type="dxa"/>
          </w:tcPr>
          <w:p w14:paraId="3DEF6210" w14:textId="77777777" w:rsidR="0051740B" w:rsidRPr="000600DF" w:rsidRDefault="0051740B" w:rsidP="0060328A">
            <w:pPr>
              <w:spacing w:line="276" w:lineRule="auto"/>
              <w:jc w:val="both"/>
            </w:pPr>
            <w:r w:rsidRPr="000600DF">
              <w:t>Groh, A, H.</w:t>
            </w:r>
            <w:r>
              <w:t xml:space="preserve"> </w:t>
            </w:r>
            <w:r w:rsidRPr="000600DF">
              <w:t xml:space="preserve">Liechtenstein and K. </w:t>
            </w:r>
            <w:proofErr w:type="spellStart"/>
            <w:r w:rsidRPr="000600DF">
              <w:t>Lieser</w:t>
            </w:r>
            <w:proofErr w:type="spellEnd"/>
            <w:r>
              <w:t>.</w:t>
            </w:r>
            <w:r w:rsidRPr="000600DF">
              <w:t xml:space="preserve"> </w:t>
            </w:r>
            <w:r>
              <w:t>(</w:t>
            </w:r>
            <w:r w:rsidRPr="000600DF">
              <w:t>2012</w:t>
            </w:r>
            <w:r>
              <w:t>).</w:t>
            </w:r>
            <w:r w:rsidRPr="000600DF">
              <w:t xml:space="preserve"> The Global Venture Capital and Private Equity Country Attractiveness Index 2012 Annual,</w:t>
            </w:r>
          </w:p>
          <w:p w14:paraId="2391C4F9" w14:textId="77777777" w:rsidR="0051740B" w:rsidRPr="000600DF" w:rsidRDefault="0056176F" w:rsidP="0060328A">
            <w:pPr>
              <w:spacing w:line="276" w:lineRule="auto"/>
              <w:jc w:val="both"/>
            </w:pPr>
            <w:hyperlink r:id="rId26" w:history="1">
              <w:r w:rsidR="0051740B" w:rsidRPr="000600DF">
                <w:t>http://blog.iese.edu/vcpeindex/about/</w:t>
              </w:r>
            </w:hyperlink>
            <w:r w:rsidR="0051740B" w:rsidRPr="000600DF">
              <w:t xml:space="preserve"> </w:t>
            </w:r>
          </w:p>
        </w:tc>
      </w:tr>
    </w:tbl>
    <w:p w14:paraId="0717328C" w14:textId="77777777" w:rsidR="0051740B" w:rsidRDefault="0051740B" w:rsidP="0060328A">
      <w:pPr>
        <w:spacing w:line="276" w:lineRule="auto"/>
        <w:jc w:val="both"/>
        <w:rPr>
          <w:rFonts w:cstheme="minorHAnsi"/>
          <w:sz w:val="24"/>
          <w:szCs w:val="24"/>
        </w:rPr>
        <w:sectPr w:rsidR="0051740B" w:rsidSect="0051740B">
          <w:headerReference w:type="even" r:id="rId27"/>
          <w:headerReference w:type="default" r:id="rId28"/>
          <w:footerReference w:type="even" r:id="rId29"/>
          <w:footerReference w:type="default" r:id="rId30"/>
          <w:headerReference w:type="first" r:id="rId31"/>
          <w:footerReference w:type="first" r:id="rId32"/>
          <w:pgSz w:w="16840" w:h="11900" w:orient="landscape"/>
          <w:pgMar w:top="1418" w:right="1678" w:bottom="1418" w:left="1418" w:header="425" w:footer="595" w:gutter="0"/>
          <w:cols w:space="708"/>
          <w:titlePg/>
          <w:docGrid w:linePitch="360"/>
        </w:sectPr>
      </w:pPr>
    </w:p>
    <w:p w14:paraId="51144E2C" w14:textId="77777777" w:rsidR="00D262D6" w:rsidRPr="008B2535" w:rsidRDefault="00D262D6" w:rsidP="00713B59">
      <w:pPr>
        <w:spacing w:after="240" w:line="276" w:lineRule="auto"/>
        <w:ind w:firstLine="708"/>
        <w:jc w:val="both"/>
        <w:rPr>
          <w:sz w:val="22"/>
          <w:szCs w:val="24"/>
          <w:lang w:val="en-US"/>
        </w:rPr>
      </w:pPr>
    </w:p>
    <w:sectPr w:rsidR="00D262D6" w:rsidRPr="008B2535" w:rsidSect="00180210">
      <w:pgSz w:w="11900" w:h="16840"/>
      <w:pgMar w:top="1680" w:right="1417" w:bottom="1417" w:left="1417" w:header="426" w:footer="5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C0B06" w14:textId="77777777" w:rsidR="0056176F" w:rsidRDefault="0056176F" w:rsidP="00A64953">
      <w:r>
        <w:separator/>
      </w:r>
    </w:p>
    <w:p w14:paraId="6D7FD858" w14:textId="77777777" w:rsidR="0056176F" w:rsidRDefault="0056176F"/>
  </w:endnote>
  <w:endnote w:type="continuationSeparator" w:id="0">
    <w:p w14:paraId="55DDE7CA" w14:textId="77777777" w:rsidR="0056176F" w:rsidRDefault="0056176F" w:rsidP="00A64953">
      <w:r>
        <w:continuationSeparator/>
      </w:r>
    </w:p>
    <w:p w14:paraId="3D120CFF" w14:textId="77777777" w:rsidR="0056176F" w:rsidRDefault="00561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Geneva"/>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TCCharterCom-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397B" w14:textId="77777777" w:rsidR="00C9360C" w:rsidRDefault="00C93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57929"/>
      <w:docPartObj>
        <w:docPartGallery w:val="Page Numbers (Bottom of Page)"/>
        <w:docPartUnique/>
      </w:docPartObj>
    </w:sdtPr>
    <w:sdtEndPr>
      <w:rPr>
        <w:noProof/>
      </w:rPr>
    </w:sdtEndPr>
    <w:sdtContent>
      <w:p w14:paraId="298BA75D" w14:textId="3EFD576D" w:rsidR="00B75EF8" w:rsidRDefault="00B75EF8">
        <w:pPr>
          <w:pStyle w:val="Footer"/>
          <w:jc w:val="center"/>
        </w:pPr>
        <w:r>
          <w:fldChar w:fldCharType="begin"/>
        </w:r>
        <w:r>
          <w:instrText xml:space="preserve"> PAGE   \* MERGEFORMAT </w:instrText>
        </w:r>
        <w:r>
          <w:fldChar w:fldCharType="separate"/>
        </w:r>
        <w:r w:rsidR="00972F11">
          <w:rPr>
            <w:noProof/>
          </w:rPr>
          <w:t>3</w:t>
        </w:r>
        <w:r>
          <w:rPr>
            <w:noProof/>
          </w:rPr>
          <w:fldChar w:fldCharType="end"/>
        </w:r>
      </w:p>
    </w:sdtContent>
  </w:sdt>
  <w:p w14:paraId="2F7AF66F" w14:textId="77777777" w:rsidR="00B75EF8" w:rsidRDefault="00B75EF8" w:rsidP="005E53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FC6B" w14:textId="77777777" w:rsidR="00C9360C" w:rsidRDefault="00C936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6122"/>
      <w:gridCol w:w="1716"/>
      <w:gridCol w:w="6122"/>
    </w:tblGrid>
    <w:tr w:rsidR="00B75EF8" w:rsidRPr="00A77710" w14:paraId="75B18BC4" w14:textId="77777777" w:rsidTr="00A77710">
      <w:trPr>
        <w:trHeight w:val="151"/>
      </w:trPr>
      <w:tc>
        <w:tcPr>
          <w:tcW w:w="2250" w:type="pct"/>
          <w:tcBorders>
            <w:top w:val="nil"/>
            <w:left w:val="nil"/>
            <w:bottom w:val="single" w:sz="4" w:space="0" w:color="4F81BD"/>
            <w:right w:val="nil"/>
          </w:tcBorders>
        </w:tcPr>
        <w:p w14:paraId="47D91F69" w14:textId="77777777" w:rsidR="00B75EF8" w:rsidRPr="00A77710" w:rsidRDefault="00B75EF8" w:rsidP="00A64953">
          <w:pPr>
            <w:pStyle w:val="Header"/>
          </w:pPr>
        </w:p>
      </w:tc>
      <w:tc>
        <w:tcPr>
          <w:tcW w:w="500" w:type="pct"/>
          <w:vMerge w:val="restart"/>
          <w:noWrap/>
          <w:vAlign w:val="center"/>
          <w:hideMark/>
        </w:tcPr>
        <w:p w14:paraId="6F96EB90" w14:textId="77777777" w:rsidR="00B75EF8" w:rsidRPr="00A77710" w:rsidRDefault="00B75EF8">
          <w:pPr>
            <w:pStyle w:val="NoSpacing"/>
            <w:spacing w:line="276" w:lineRule="auto"/>
            <w:rPr>
              <w:color w:val="365F91"/>
            </w:rPr>
          </w:pPr>
          <w:r w:rsidRPr="00A77710">
            <w:rPr>
              <w:rFonts w:ascii="Cambria" w:hAnsi="Cambria"/>
              <w:color w:val="365F91"/>
            </w:rPr>
            <w:t>[Geef de tekst op]</w:t>
          </w:r>
        </w:p>
      </w:tc>
      <w:tc>
        <w:tcPr>
          <w:tcW w:w="2250" w:type="pct"/>
          <w:tcBorders>
            <w:top w:val="nil"/>
            <w:left w:val="nil"/>
            <w:bottom w:val="single" w:sz="4" w:space="0" w:color="4F81BD"/>
            <w:right w:val="nil"/>
          </w:tcBorders>
        </w:tcPr>
        <w:p w14:paraId="0BD7ED26" w14:textId="77777777" w:rsidR="00B75EF8" w:rsidRPr="00A77710" w:rsidRDefault="00B75EF8" w:rsidP="00A64953">
          <w:pPr>
            <w:pStyle w:val="Header"/>
          </w:pPr>
        </w:p>
      </w:tc>
    </w:tr>
    <w:tr w:rsidR="00B75EF8" w:rsidRPr="00A77710" w14:paraId="52AFA1D4" w14:textId="77777777" w:rsidTr="00A77710">
      <w:trPr>
        <w:trHeight w:val="150"/>
      </w:trPr>
      <w:tc>
        <w:tcPr>
          <w:tcW w:w="2250" w:type="pct"/>
          <w:tcBorders>
            <w:top w:val="single" w:sz="4" w:space="0" w:color="4F81BD"/>
            <w:left w:val="nil"/>
            <w:bottom w:val="nil"/>
            <w:right w:val="nil"/>
          </w:tcBorders>
        </w:tcPr>
        <w:p w14:paraId="374BCA8D" w14:textId="77777777" w:rsidR="00B75EF8" w:rsidRPr="00A77710" w:rsidRDefault="00B75EF8" w:rsidP="00A64953">
          <w:pPr>
            <w:pStyle w:val="Header"/>
          </w:pPr>
        </w:p>
      </w:tc>
      <w:tc>
        <w:tcPr>
          <w:tcW w:w="0" w:type="auto"/>
          <w:vMerge/>
          <w:vAlign w:val="center"/>
          <w:hideMark/>
        </w:tcPr>
        <w:p w14:paraId="71A64FDF" w14:textId="77777777" w:rsidR="00B75EF8" w:rsidRPr="00A77710" w:rsidRDefault="00B75EF8" w:rsidP="00A64953"/>
      </w:tc>
      <w:tc>
        <w:tcPr>
          <w:tcW w:w="2250" w:type="pct"/>
          <w:tcBorders>
            <w:top w:val="single" w:sz="4" w:space="0" w:color="4F81BD"/>
            <w:left w:val="nil"/>
            <w:bottom w:val="nil"/>
            <w:right w:val="nil"/>
          </w:tcBorders>
        </w:tcPr>
        <w:p w14:paraId="14531740" w14:textId="77777777" w:rsidR="00B75EF8" w:rsidRPr="00A77710" w:rsidRDefault="00B75EF8" w:rsidP="00A64953">
          <w:pPr>
            <w:pStyle w:val="Header"/>
          </w:pPr>
        </w:p>
      </w:tc>
    </w:tr>
  </w:tbl>
  <w:p w14:paraId="36E028F8" w14:textId="77777777" w:rsidR="00B75EF8" w:rsidRDefault="00B75EF8" w:rsidP="00A649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6" w:name="_GoBack" w:displacedByCustomXml="next"/>
  <w:bookmarkEnd w:id="36" w:displacedByCustomXml="next"/>
  <w:sdt>
    <w:sdtPr>
      <w:id w:val="1555118042"/>
      <w:docPartObj>
        <w:docPartGallery w:val="Page Numbers (Bottom of Page)"/>
        <w:docPartUnique/>
      </w:docPartObj>
    </w:sdtPr>
    <w:sdtContent>
      <w:p w14:paraId="03DCC094" w14:textId="64E48895" w:rsidR="00C9360C" w:rsidRDefault="00C9360C">
        <w:pPr>
          <w:pStyle w:val="Footer"/>
          <w:jc w:val="center"/>
        </w:pPr>
        <w:r>
          <w:fldChar w:fldCharType="begin"/>
        </w:r>
        <w:r>
          <w:instrText>PAGE   \* MERGEFORMAT</w:instrText>
        </w:r>
        <w:r>
          <w:fldChar w:fldCharType="separate"/>
        </w:r>
        <w:r w:rsidR="00972F11" w:rsidRPr="00972F11">
          <w:rPr>
            <w:noProof/>
            <w:lang w:val="nl-NL"/>
          </w:rPr>
          <w:t>31</w:t>
        </w:r>
        <w:r>
          <w:fldChar w:fldCharType="end"/>
        </w:r>
      </w:p>
    </w:sdtContent>
  </w:sdt>
  <w:p w14:paraId="51E27DB0" w14:textId="28C0B497" w:rsidR="00B75EF8" w:rsidRPr="004E032E" w:rsidRDefault="00B75EF8" w:rsidP="00A64953">
    <w:pPr>
      <w:pStyle w:val="Footer"/>
      <w:rPr>
        <w:color w:val="575757"/>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030328"/>
      <w:docPartObj>
        <w:docPartGallery w:val="Page Numbers (Bottom of Page)"/>
        <w:docPartUnique/>
      </w:docPartObj>
    </w:sdtPr>
    <w:sdtContent>
      <w:p w14:paraId="3EA02AE2" w14:textId="2A756B77" w:rsidR="00C9360C" w:rsidRDefault="00C9360C">
        <w:pPr>
          <w:pStyle w:val="Footer"/>
          <w:jc w:val="center"/>
        </w:pPr>
        <w:r>
          <w:fldChar w:fldCharType="begin"/>
        </w:r>
        <w:r>
          <w:instrText>PAGE   \* MERGEFORMAT</w:instrText>
        </w:r>
        <w:r>
          <w:fldChar w:fldCharType="separate"/>
        </w:r>
        <w:r w:rsidR="00972F11" w:rsidRPr="00972F11">
          <w:rPr>
            <w:noProof/>
            <w:lang w:val="nl-NL"/>
          </w:rPr>
          <w:t>33</w:t>
        </w:r>
        <w:r>
          <w:fldChar w:fldCharType="end"/>
        </w:r>
      </w:p>
    </w:sdtContent>
  </w:sdt>
  <w:p w14:paraId="17C13133" w14:textId="7F251195" w:rsidR="00B75EF8" w:rsidRPr="00C9360C" w:rsidRDefault="00B75EF8">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28A60" w14:textId="77777777" w:rsidR="0056176F" w:rsidRDefault="0056176F" w:rsidP="00A64953">
      <w:r>
        <w:separator/>
      </w:r>
    </w:p>
    <w:p w14:paraId="71A343F6" w14:textId="77777777" w:rsidR="0056176F" w:rsidRDefault="0056176F"/>
  </w:footnote>
  <w:footnote w:type="continuationSeparator" w:id="0">
    <w:p w14:paraId="215E5AAB" w14:textId="77777777" w:rsidR="0056176F" w:rsidRDefault="0056176F" w:rsidP="00A64953">
      <w:r>
        <w:continuationSeparator/>
      </w:r>
    </w:p>
    <w:p w14:paraId="3BC914A8" w14:textId="77777777" w:rsidR="0056176F" w:rsidRDefault="0056176F"/>
  </w:footnote>
  <w:footnote w:id="1">
    <w:p w14:paraId="68A4EB7B" w14:textId="2930B585" w:rsidR="00414AFB" w:rsidRPr="00414AFB" w:rsidRDefault="00414AFB">
      <w:pPr>
        <w:pStyle w:val="FootnoteText"/>
        <w:rPr>
          <w:sz w:val="20"/>
          <w:szCs w:val="20"/>
          <w:lang w:val="en-US"/>
        </w:rPr>
      </w:pPr>
      <w:r w:rsidRPr="00901D18">
        <w:rPr>
          <w:rStyle w:val="FootnoteReference"/>
          <w:color w:val="auto"/>
        </w:rPr>
        <w:footnoteRef/>
      </w:r>
      <w:r w:rsidRPr="00901D18">
        <w:rPr>
          <w:color w:val="auto"/>
        </w:rPr>
        <w:t xml:space="preserve"> </w:t>
      </w:r>
      <w:r w:rsidRPr="00901D18">
        <w:rPr>
          <w:color w:val="auto"/>
          <w:sz w:val="20"/>
          <w:szCs w:val="20"/>
          <w:lang w:val="en-US"/>
        </w:rPr>
        <w:t>We use the term national Systems of Entrepreneurship (NSE) and Entrepreneurial Ecosystem approaches as two labels interchangeably.</w:t>
      </w:r>
    </w:p>
  </w:footnote>
  <w:footnote w:id="2">
    <w:p w14:paraId="29F1D796" w14:textId="0AABBB79" w:rsidR="00414AFB" w:rsidRPr="00414AFB" w:rsidRDefault="00414AFB" w:rsidP="00414AFB">
      <w:pPr>
        <w:pStyle w:val="FootnoteText"/>
        <w:spacing w:line="240" w:lineRule="auto"/>
        <w:ind w:left="360" w:hanging="360"/>
        <w:rPr>
          <w:sz w:val="20"/>
          <w:szCs w:val="20"/>
          <w:lang w:val="en-US"/>
        </w:rPr>
      </w:pPr>
      <w:r w:rsidRPr="00901D18">
        <w:rPr>
          <w:rStyle w:val="FootnoteReference"/>
          <w:color w:val="auto"/>
        </w:rPr>
        <w:footnoteRef/>
      </w:r>
      <w:r w:rsidRPr="00901D18">
        <w:rPr>
          <w:color w:val="auto"/>
        </w:rPr>
        <w:t xml:space="preserve"> </w:t>
      </w:r>
      <w:r w:rsidRPr="00901D18">
        <w:rPr>
          <w:color w:val="auto"/>
          <w:sz w:val="20"/>
          <w:szCs w:val="20"/>
          <w:lang w:val="en-US"/>
        </w:rPr>
        <w:t>We would argue that Porter does not include entrepreneurship in clusters nor does he really even hint at this. It is simply left out. Moreover, much of the cluster ignores the role of entrepreneurship</w:t>
      </w:r>
      <w:r w:rsidRPr="00414AFB">
        <w:rPr>
          <w:sz w:val="20"/>
          <w:szCs w:val="20"/>
          <w:lang w:val="en-US"/>
        </w:rPr>
        <w:t xml:space="preserve">. </w:t>
      </w:r>
    </w:p>
  </w:footnote>
  <w:footnote w:id="3">
    <w:p w14:paraId="7397C86F" w14:textId="10957B5D" w:rsidR="00414AFB" w:rsidRPr="00901D18" w:rsidRDefault="00414AFB" w:rsidP="00614DCA">
      <w:pPr>
        <w:pStyle w:val="FootnoteText"/>
        <w:spacing w:after="60"/>
        <w:rPr>
          <w:color w:val="auto"/>
          <w:sz w:val="20"/>
          <w:szCs w:val="20"/>
          <w:lang w:val="en-US"/>
        </w:rPr>
      </w:pPr>
      <w:r w:rsidRPr="00901D18">
        <w:rPr>
          <w:rStyle w:val="FootnoteReference"/>
          <w:color w:val="auto"/>
          <w:sz w:val="20"/>
          <w:szCs w:val="20"/>
        </w:rPr>
        <w:footnoteRef/>
      </w:r>
      <w:r w:rsidRPr="00901D18">
        <w:rPr>
          <w:color w:val="auto"/>
          <w:sz w:val="20"/>
          <w:szCs w:val="20"/>
        </w:rPr>
        <w:t xml:space="preserve"> </w:t>
      </w:r>
      <w:r w:rsidRPr="00901D18">
        <w:rPr>
          <w:color w:val="auto"/>
          <w:sz w:val="20"/>
          <w:szCs w:val="20"/>
          <w:lang w:val="en-US"/>
        </w:rPr>
        <w:t xml:space="preserve">While the </w:t>
      </w:r>
      <w:proofErr w:type="spellStart"/>
      <w:r w:rsidRPr="00901D18">
        <w:rPr>
          <w:color w:val="auto"/>
          <w:sz w:val="20"/>
          <w:szCs w:val="20"/>
          <w:lang w:val="en-US"/>
        </w:rPr>
        <w:t>Kirznerian</w:t>
      </w:r>
      <w:proofErr w:type="spellEnd"/>
      <w:r w:rsidRPr="00901D18">
        <w:rPr>
          <w:color w:val="auto"/>
          <w:sz w:val="20"/>
          <w:szCs w:val="20"/>
          <w:lang w:val="en-US"/>
        </w:rPr>
        <w:t xml:space="preserve"> framework makes no attempt whatsoever to include national level aggregate it does focus on the methodology of the individual entrepreneur and that is our aim here.</w:t>
      </w:r>
    </w:p>
  </w:footnote>
  <w:footnote w:id="4">
    <w:p w14:paraId="4927B2C1" w14:textId="77777777" w:rsidR="00B75EF8" w:rsidRDefault="00B75EF8" w:rsidP="008D222F">
      <w:pPr>
        <w:pStyle w:val="FootnoteText"/>
        <w:jc w:val="left"/>
      </w:pPr>
      <w:r w:rsidRPr="00901D18">
        <w:rPr>
          <w:rStyle w:val="FootnoteReference"/>
          <w:color w:val="auto"/>
          <w:sz w:val="20"/>
        </w:rPr>
        <w:footnoteRef/>
      </w:r>
      <w:r w:rsidRPr="00901D18">
        <w:rPr>
          <w:color w:val="auto"/>
          <w:sz w:val="20"/>
        </w:rPr>
        <w:t xml:space="preserve"> Acs, </w:t>
      </w:r>
      <w:proofErr w:type="spellStart"/>
      <w:r w:rsidRPr="00901D18">
        <w:rPr>
          <w:color w:val="auto"/>
          <w:sz w:val="20"/>
        </w:rPr>
        <w:t>Audretsch</w:t>
      </w:r>
      <w:proofErr w:type="spellEnd"/>
      <w:r w:rsidRPr="00901D18">
        <w:rPr>
          <w:color w:val="auto"/>
          <w:sz w:val="20"/>
        </w:rPr>
        <w:t xml:space="preserve">, </w:t>
      </w:r>
      <w:proofErr w:type="spellStart"/>
      <w:r w:rsidRPr="00901D18">
        <w:rPr>
          <w:color w:val="auto"/>
          <w:sz w:val="20"/>
        </w:rPr>
        <w:t>Brauenhelm</w:t>
      </w:r>
      <w:proofErr w:type="spellEnd"/>
      <w:r w:rsidRPr="00901D18">
        <w:rPr>
          <w:color w:val="auto"/>
          <w:sz w:val="20"/>
        </w:rPr>
        <w:t xml:space="preserve"> </w:t>
      </w:r>
      <w:proofErr w:type="spellStart"/>
      <w:r w:rsidRPr="00901D18">
        <w:rPr>
          <w:color w:val="auto"/>
          <w:sz w:val="20"/>
        </w:rPr>
        <w:t>and</w:t>
      </w:r>
      <w:proofErr w:type="spellEnd"/>
      <w:r w:rsidRPr="00901D18">
        <w:rPr>
          <w:color w:val="auto"/>
          <w:sz w:val="20"/>
        </w:rPr>
        <w:t xml:space="preserve"> </w:t>
      </w:r>
      <w:proofErr w:type="spellStart"/>
      <w:r w:rsidRPr="00901D18">
        <w:rPr>
          <w:color w:val="auto"/>
          <w:sz w:val="20"/>
        </w:rPr>
        <w:t>Carlsson</w:t>
      </w:r>
      <w:proofErr w:type="spellEnd"/>
      <w:r w:rsidRPr="00901D18">
        <w:rPr>
          <w:color w:val="auto"/>
          <w:sz w:val="20"/>
        </w:rPr>
        <w:t xml:space="preserve"> in 2004-2005 </w:t>
      </w:r>
      <w:proofErr w:type="spellStart"/>
      <w:r w:rsidRPr="00901D18">
        <w:rPr>
          <w:color w:val="auto"/>
          <w:sz w:val="20"/>
        </w:rPr>
        <w:t>produces</w:t>
      </w:r>
      <w:proofErr w:type="spellEnd"/>
      <w:r w:rsidRPr="00901D18">
        <w:rPr>
          <w:color w:val="auto"/>
          <w:sz w:val="20"/>
        </w:rPr>
        <w:t xml:space="preserve"> a set of </w:t>
      </w:r>
      <w:proofErr w:type="spellStart"/>
      <w:r w:rsidRPr="00901D18">
        <w:rPr>
          <w:color w:val="auto"/>
          <w:sz w:val="20"/>
        </w:rPr>
        <w:t>working</w:t>
      </w:r>
      <w:proofErr w:type="spellEnd"/>
      <w:r w:rsidRPr="00901D18">
        <w:rPr>
          <w:color w:val="auto"/>
          <w:sz w:val="20"/>
        </w:rPr>
        <w:t xml:space="preserve"> papers </w:t>
      </w:r>
      <w:proofErr w:type="spellStart"/>
      <w:r w:rsidRPr="00901D18">
        <w:rPr>
          <w:color w:val="auto"/>
          <w:sz w:val="20"/>
        </w:rPr>
        <w:t>published</w:t>
      </w:r>
      <w:proofErr w:type="spellEnd"/>
      <w:r w:rsidRPr="00901D18">
        <w:rPr>
          <w:color w:val="auto"/>
          <w:sz w:val="20"/>
        </w:rPr>
        <w:t xml:space="preserve"> </w:t>
      </w:r>
      <w:proofErr w:type="spellStart"/>
      <w:r w:rsidRPr="00901D18">
        <w:rPr>
          <w:color w:val="auto"/>
          <w:sz w:val="20"/>
        </w:rPr>
        <w:t>by</w:t>
      </w:r>
      <w:proofErr w:type="spellEnd"/>
      <w:r w:rsidRPr="00901D18">
        <w:rPr>
          <w:color w:val="auto"/>
          <w:sz w:val="20"/>
        </w:rPr>
        <w:t xml:space="preserve"> CEPP, The Royal </w:t>
      </w:r>
      <w:proofErr w:type="spellStart"/>
      <w:r w:rsidRPr="00901D18">
        <w:rPr>
          <w:color w:val="auto"/>
          <w:sz w:val="20"/>
        </w:rPr>
        <w:t>Institute</w:t>
      </w:r>
      <w:proofErr w:type="spellEnd"/>
      <w:r w:rsidRPr="00901D18">
        <w:rPr>
          <w:color w:val="auto"/>
          <w:sz w:val="20"/>
        </w:rPr>
        <w:t xml:space="preserve"> of Technology </w:t>
      </w:r>
      <w:proofErr w:type="spellStart"/>
      <w:r w:rsidRPr="00901D18">
        <w:rPr>
          <w:color w:val="auto"/>
          <w:sz w:val="20"/>
        </w:rPr>
        <w:t>and</w:t>
      </w:r>
      <w:proofErr w:type="spellEnd"/>
      <w:r w:rsidRPr="00901D18">
        <w:rPr>
          <w:color w:val="auto"/>
          <w:sz w:val="20"/>
        </w:rPr>
        <w:t xml:space="preserve"> </w:t>
      </w:r>
      <w:proofErr w:type="spellStart"/>
      <w:r w:rsidRPr="00901D18">
        <w:rPr>
          <w:color w:val="auto"/>
          <w:sz w:val="20"/>
        </w:rPr>
        <w:t>the</w:t>
      </w:r>
      <w:proofErr w:type="spellEnd"/>
      <w:r w:rsidRPr="00901D18">
        <w:rPr>
          <w:color w:val="auto"/>
          <w:sz w:val="20"/>
        </w:rPr>
        <w:t xml:space="preserve"> Max Planck </w:t>
      </w:r>
      <w:proofErr w:type="spellStart"/>
      <w:r w:rsidRPr="00901D18">
        <w:rPr>
          <w:color w:val="auto"/>
          <w:sz w:val="20"/>
        </w:rPr>
        <w:t>Institute</w:t>
      </w:r>
      <w:proofErr w:type="spellEnd"/>
      <w:r w:rsidRPr="00901D18">
        <w:rPr>
          <w:color w:val="auto"/>
          <w:sz w:val="20"/>
        </w:rPr>
        <w:t xml:space="preserve"> of </w:t>
      </w:r>
      <w:proofErr w:type="spellStart"/>
      <w:r w:rsidRPr="00901D18">
        <w:rPr>
          <w:color w:val="auto"/>
          <w:sz w:val="20"/>
        </w:rPr>
        <w:t>Economics</w:t>
      </w:r>
      <w:proofErr w:type="spellEnd"/>
      <w:r w:rsidRPr="00901D18">
        <w:rPr>
          <w:color w:val="auto"/>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4B25B" w14:textId="77777777" w:rsidR="00C9360C" w:rsidRDefault="00C93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BB66" w14:textId="6861A697" w:rsidR="0060328A" w:rsidRDefault="0060328A">
    <w:pPr>
      <w:pStyle w:val="Header"/>
    </w:pPr>
    <w:r>
      <w:rPr>
        <w:noProof/>
        <w:lang w:val="nl-NL"/>
      </w:rPr>
      <w:drawing>
        <wp:anchor distT="0" distB="0" distL="114300" distR="114300" simplePos="0" relativeHeight="251661824" behindDoc="0" locked="0" layoutInCell="1" allowOverlap="1" wp14:anchorId="0540D5BC" wp14:editId="0DD0BA5D">
          <wp:simplePos x="0" y="0"/>
          <wp:positionH relativeFrom="column">
            <wp:posOffset>5004959</wp:posOffset>
          </wp:positionH>
          <wp:positionV relativeFrom="paragraph">
            <wp:posOffset>-207645</wp:posOffset>
          </wp:positionV>
          <wp:extent cx="914400" cy="669925"/>
          <wp:effectExtent l="0" t="0" r="0" b="0"/>
          <wp:wrapNone/>
          <wp:docPr id="5" name="Afbeelding 1" descr="Macintosh HD:Users:nathalie:Documents:Nathalie:Fires:Huisstijl:Powerpoint sjabloon:Beeld:fires_logo_rgb_v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nathalie:Documents:Nathalie:Fires:Huisstijl:Powerpoint sjabloon:Beeld:fires_logo_rgb_v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9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ABCBC" w14:textId="77777777" w:rsidR="00C9360C" w:rsidRDefault="00C936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E9CEB" w14:textId="77777777" w:rsidR="00B75EF8" w:rsidRDefault="00B75E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13FE2" w14:textId="77777777" w:rsidR="00B75EF8" w:rsidRDefault="00B75EF8" w:rsidP="00A64953">
    <w:pPr>
      <w:pStyle w:val="Header"/>
    </w:pPr>
    <w:r>
      <w:rPr>
        <w:noProof/>
        <w:lang w:val="nl-NL"/>
      </w:rPr>
      <w:drawing>
        <wp:anchor distT="0" distB="0" distL="114300" distR="114300" simplePos="0" relativeHeight="251659776" behindDoc="0" locked="0" layoutInCell="1" allowOverlap="1" wp14:anchorId="470C4F87" wp14:editId="73782075">
          <wp:simplePos x="0" y="0"/>
          <wp:positionH relativeFrom="column">
            <wp:posOffset>7667625</wp:posOffset>
          </wp:positionH>
          <wp:positionV relativeFrom="paragraph">
            <wp:posOffset>-108585</wp:posOffset>
          </wp:positionV>
          <wp:extent cx="914400" cy="669925"/>
          <wp:effectExtent l="0" t="0" r="0" b="0"/>
          <wp:wrapNone/>
          <wp:docPr id="6" name="Afbeelding 1" descr="Macintosh HD:Users:nathalie:Documents:Nathalie:Fires:Huisstijl:Powerpoint sjabloon:Beeld:fires_logo_rgb_v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nathalie:Documents:Nathalie:Fires:Huisstijl:Powerpoint sjabloon:Beeld:fires_logo_rgb_v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9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85DF" w14:textId="42924F42" w:rsidR="00B75EF8" w:rsidRDefault="00224340">
    <w:pPr>
      <w:pStyle w:val="Header"/>
    </w:pPr>
    <w:r>
      <w:rPr>
        <w:noProof/>
        <w:lang w:val="nl-NL"/>
      </w:rPr>
      <w:drawing>
        <wp:anchor distT="0" distB="0" distL="114300" distR="114300" simplePos="0" relativeHeight="251663872" behindDoc="0" locked="0" layoutInCell="1" allowOverlap="1" wp14:anchorId="01F75FBC" wp14:editId="08716073">
          <wp:simplePos x="0" y="0"/>
          <wp:positionH relativeFrom="column">
            <wp:posOffset>7714615</wp:posOffset>
          </wp:positionH>
          <wp:positionV relativeFrom="paragraph">
            <wp:posOffset>-69850</wp:posOffset>
          </wp:positionV>
          <wp:extent cx="914400" cy="669925"/>
          <wp:effectExtent l="0" t="0" r="0" b="0"/>
          <wp:wrapNone/>
          <wp:docPr id="7" name="Afbeelding 1" descr="Macintosh HD:Users:nathalie:Documents:Nathalie:Fires:Huisstijl:Powerpoint sjabloon:Beeld:fires_logo_rgb_v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nathalie:Documents:Nathalie:Fires:Huisstijl:Powerpoint sjabloon:Beeld:fires_logo_rgb_v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9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052"/>
    <w:multiLevelType w:val="hybridMultilevel"/>
    <w:tmpl w:val="D3C4806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168354EE"/>
    <w:multiLevelType w:val="hybridMultilevel"/>
    <w:tmpl w:val="DF265A4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9B30F5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1E9B6181"/>
    <w:multiLevelType w:val="hybridMultilevel"/>
    <w:tmpl w:val="A0C418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5EA2E8E"/>
    <w:multiLevelType w:val="hybridMultilevel"/>
    <w:tmpl w:val="8B4A172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264F6F5B"/>
    <w:multiLevelType w:val="hybridMultilevel"/>
    <w:tmpl w:val="799E33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D0711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224125"/>
    <w:multiLevelType w:val="multilevel"/>
    <w:tmpl w:val="2B7EE4DE"/>
    <w:lvl w:ilvl="0">
      <w:start w:val="1"/>
      <w:numFmt w:val="bullet"/>
      <w:lvlText w:val=""/>
      <w:lvlJc w:val="left"/>
      <w:pPr>
        <w:ind w:left="720" w:hanging="55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BAD20A3"/>
    <w:multiLevelType w:val="hybridMultilevel"/>
    <w:tmpl w:val="9014B9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C0668DC"/>
    <w:multiLevelType w:val="hybridMultilevel"/>
    <w:tmpl w:val="BE4E67D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45F45C88"/>
    <w:multiLevelType w:val="hybridMultilevel"/>
    <w:tmpl w:val="BDBEDC9A"/>
    <w:lvl w:ilvl="0" w:tplc="581EFF38">
      <w:start w:val="1"/>
      <w:numFmt w:val="bullet"/>
      <w:pStyle w:val="Enumeration"/>
      <w:lvlText w:val=""/>
      <w:lvlJc w:val="left"/>
      <w:pPr>
        <w:tabs>
          <w:tab w:val="num" w:pos="567"/>
        </w:tabs>
        <w:ind w:left="567" w:hanging="39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34218"/>
    <w:multiLevelType w:val="hybridMultilevel"/>
    <w:tmpl w:val="BECE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66B2E"/>
    <w:multiLevelType w:val="hybridMultilevel"/>
    <w:tmpl w:val="264EF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840C75"/>
    <w:multiLevelType w:val="hybridMultilevel"/>
    <w:tmpl w:val="751E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33FE5"/>
    <w:multiLevelType w:val="hybridMultilevel"/>
    <w:tmpl w:val="D23CE44C"/>
    <w:lvl w:ilvl="0" w:tplc="563E0186">
      <w:start w:val="1"/>
      <w:numFmt w:val="bullet"/>
      <w:lvlText w:val="-"/>
      <w:lvlJc w:val="left"/>
      <w:pPr>
        <w:ind w:left="360" w:hanging="360"/>
      </w:pPr>
      <w:rPr>
        <w:rFonts w:ascii="Calibri" w:eastAsia="ヒラギノ角ゴ Pro W3"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F811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0E6269E"/>
    <w:multiLevelType w:val="hybridMultilevel"/>
    <w:tmpl w:val="8EC237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22563AA"/>
    <w:multiLevelType w:val="hybridMultilevel"/>
    <w:tmpl w:val="C86430EC"/>
    <w:lvl w:ilvl="0" w:tplc="79FE8612">
      <w:start w:val="12"/>
      <w:numFmt w:val="bullet"/>
      <w:lvlText w:val="-"/>
      <w:lvlJc w:val="left"/>
      <w:pPr>
        <w:ind w:left="720" w:hanging="360"/>
      </w:pPr>
      <w:rPr>
        <w:rFonts w:ascii="Calibri" w:eastAsia="ヒラギノ角ゴ Pro W3"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5129CB"/>
    <w:multiLevelType w:val="hybridMultilevel"/>
    <w:tmpl w:val="4E08FC0E"/>
    <w:lvl w:ilvl="0" w:tplc="49E0A708">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320E0"/>
    <w:multiLevelType w:val="hybridMultilevel"/>
    <w:tmpl w:val="9CBA0B8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8C02CF1"/>
    <w:multiLevelType w:val="hybridMultilevel"/>
    <w:tmpl w:val="A10817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7B972A32"/>
    <w:multiLevelType w:val="hybridMultilevel"/>
    <w:tmpl w:val="EB025CE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7D0205DB"/>
    <w:multiLevelType w:val="multilevel"/>
    <w:tmpl w:val="09CC4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DE80466"/>
    <w:multiLevelType w:val="hybridMultilevel"/>
    <w:tmpl w:val="A2DAF59E"/>
    <w:lvl w:ilvl="0" w:tplc="A6EAD9BA">
      <w:numFmt w:val="bullet"/>
      <w:lvlText w:val="•"/>
      <w:lvlJc w:val="left"/>
      <w:pPr>
        <w:ind w:left="1068" w:hanging="360"/>
      </w:pPr>
      <w:rPr>
        <w:rFonts w:ascii="Verdana" w:eastAsiaTheme="minorEastAsia" w:hAnsi="Verdana"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7E3C25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4260FE"/>
    <w:multiLevelType w:val="multilevel"/>
    <w:tmpl w:val="4712E6DA"/>
    <w:lvl w:ilvl="0">
      <w:start w:val="1"/>
      <w:numFmt w:val="bullet"/>
      <w:lvlText w:val=""/>
      <w:lvlJc w:val="left"/>
      <w:pPr>
        <w:tabs>
          <w:tab w:val="num" w:pos="567"/>
        </w:tabs>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
  </w:num>
  <w:num w:numId="4">
    <w:abstractNumId w:val="6"/>
  </w:num>
  <w:num w:numId="5">
    <w:abstractNumId w:val="18"/>
  </w:num>
  <w:num w:numId="6">
    <w:abstractNumId w:val="10"/>
  </w:num>
  <w:num w:numId="7">
    <w:abstractNumId w:val="22"/>
  </w:num>
  <w:num w:numId="8">
    <w:abstractNumId w:val="7"/>
  </w:num>
  <w:num w:numId="9">
    <w:abstractNumId w:val="25"/>
  </w:num>
  <w:num w:numId="10">
    <w:abstractNumId w:val="23"/>
  </w:num>
  <w:num w:numId="11">
    <w:abstractNumId w:val="17"/>
  </w:num>
  <w:num w:numId="12">
    <w:abstractNumId w:val="14"/>
  </w:num>
  <w:num w:numId="13">
    <w:abstractNumId w:val="19"/>
  </w:num>
  <w:num w:numId="14">
    <w:abstractNumId w:val="16"/>
  </w:num>
  <w:num w:numId="15">
    <w:abstractNumId w:val="3"/>
  </w:num>
  <w:num w:numId="16">
    <w:abstractNumId w:val="8"/>
  </w:num>
  <w:num w:numId="17">
    <w:abstractNumId w:val="5"/>
  </w:num>
  <w:num w:numId="18">
    <w:abstractNumId w:val="13"/>
  </w:num>
  <w:num w:numId="19">
    <w:abstractNumId w:val="9"/>
  </w:num>
  <w:num w:numId="20">
    <w:abstractNumId w:val="4"/>
  </w:num>
  <w:num w:numId="21">
    <w:abstractNumId w:val="21"/>
  </w:num>
  <w:num w:numId="22">
    <w:abstractNumId w:val="11"/>
  </w:num>
  <w:num w:numId="23">
    <w:abstractNumId w:val="12"/>
  </w:num>
  <w:num w:numId="24">
    <w:abstractNumId w:val="0"/>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3NLcwMzY3NjAwsjRT0lEKTi0uzszPAykwqwUAGKy7JywAAAA="/>
  </w:docVars>
  <w:rsids>
    <w:rsidRoot w:val="001E6982"/>
    <w:rsid w:val="0001239B"/>
    <w:rsid w:val="00023F04"/>
    <w:rsid w:val="0003104C"/>
    <w:rsid w:val="00045671"/>
    <w:rsid w:val="00046A85"/>
    <w:rsid w:val="00054547"/>
    <w:rsid w:val="000571FC"/>
    <w:rsid w:val="00060BC1"/>
    <w:rsid w:val="000628D5"/>
    <w:rsid w:val="000723F2"/>
    <w:rsid w:val="00077380"/>
    <w:rsid w:val="00082493"/>
    <w:rsid w:val="000828D9"/>
    <w:rsid w:val="000855F1"/>
    <w:rsid w:val="000901A4"/>
    <w:rsid w:val="00092D27"/>
    <w:rsid w:val="00096483"/>
    <w:rsid w:val="000A48A7"/>
    <w:rsid w:val="000A7F3F"/>
    <w:rsid w:val="000C15E6"/>
    <w:rsid w:val="000C25FB"/>
    <w:rsid w:val="000C2821"/>
    <w:rsid w:val="000C7BFD"/>
    <w:rsid w:val="000D11CC"/>
    <w:rsid w:val="000D1DF2"/>
    <w:rsid w:val="000D3F8D"/>
    <w:rsid w:val="000D468C"/>
    <w:rsid w:val="000D67AA"/>
    <w:rsid w:val="000D7D1D"/>
    <w:rsid w:val="000E060D"/>
    <w:rsid w:val="000E2BC2"/>
    <w:rsid w:val="000E7247"/>
    <w:rsid w:val="000F051A"/>
    <w:rsid w:val="000F350A"/>
    <w:rsid w:val="000F6E13"/>
    <w:rsid w:val="000F7562"/>
    <w:rsid w:val="001073BA"/>
    <w:rsid w:val="00112EDD"/>
    <w:rsid w:val="00117B9D"/>
    <w:rsid w:val="001446CC"/>
    <w:rsid w:val="00151380"/>
    <w:rsid w:val="00153215"/>
    <w:rsid w:val="00153483"/>
    <w:rsid w:val="00155328"/>
    <w:rsid w:val="0016011C"/>
    <w:rsid w:val="00163DB2"/>
    <w:rsid w:val="001673EB"/>
    <w:rsid w:val="00170346"/>
    <w:rsid w:val="00180210"/>
    <w:rsid w:val="00185DA7"/>
    <w:rsid w:val="00192485"/>
    <w:rsid w:val="00195FF8"/>
    <w:rsid w:val="001A3D91"/>
    <w:rsid w:val="001B0450"/>
    <w:rsid w:val="001B374C"/>
    <w:rsid w:val="001B4B8C"/>
    <w:rsid w:val="001B51B6"/>
    <w:rsid w:val="001C3CA2"/>
    <w:rsid w:val="001D3CAD"/>
    <w:rsid w:val="001D53F0"/>
    <w:rsid w:val="001D6CDD"/>
    <w:rsid w:val="001E6982"/>
    <w:rsid w:val="001F069E"/>
    <w:rsid w:val="001F0F95"/>
    <w:rsid w:val="001F1C71"/>
    <w:rsid w:val="002027B2"/>
    <w:rsid w:val="00203163"/>
    <w:rsid w:val="00206AE7"/>
    <w:rsid w:val="00211AB6"/>
    <w:rsid w:val="00215EF1"/>
    <w:rsid w:val="00220A00"/>
    <w:rsid w:val="00224340"/>
    <w:rsid w:val="00227395"/>
    <w:rsid w:val="0023056F"/>
    <w:rsid w:val="00230E22"/>
    <w:rsid w:val="002369C9"/>
    <w:rsid w:val="0024045F"/>
    <w:rsid w:val="0024180B"/>
    <w:rsid w:val="00246801"/>
    <w:rsid w:val="002503B1"/>
    <w:rsid w:val="002562D8"/>
    <w:rsid w:val="00256C14"/>
    <w:rsid w:val="002604AF"/>
    <w:rsid w:val="002643AD"/>
    <w:rsid w:val="00272597"/>
    <w:rsid w:val="00281688"/>
    <w:rsid w:val="00284B49"/>
    <w:rsid w:val="00286C22"/>
    <w:rsid w:val="002936CA"/>
    <w:rsid w:val="00294BA1"/>
    <w:rsid w:val="002A4597"/>
    <w:rsid w:val="002A4ECC"/>
    <w:rsid w:val="002A7E18"/>
    <w:rsid w:val="002A7EE7"/>
    <w:rsid w:val="002B308E"/>
    <w:rsid w:val="002B3DFD"/>
    <w:rsid w:val="002B76AD"/>
    <w:rsid w:val="002C442E"/>
    <w:rsid w:val="002C48A4"/>
    <w:rsid w:val="002C6BFD"/>
    <w:rsid w:val="002C7951"/>
    <w:rsid w:val="002E23A5"/>
    <w:rsid w:val="002E5FA6"/>
    <w:rsid w:val="002F455F"/>
    <w:rsid w:val="002F5E7D"/>
    <w:rsid w:val="0030451C"/>
    <w:rsid w:val="0030667A"/>
    <w:rsid w:val="003138B8"/>
    <w:rsid w:val="00314117"/>
    <w:rsid w:val="00314FC1"/>
    <w:rsid w:val="00317FA7"/>
    <w:rsid w:val="00333C5C"/>
    <w:rsid w:val="00340EBE"/>
    <w:rsid w:val="00344E0C"/>
    <w:rsid w:val="00354E2A"/>
    <w:rsid w:val="00377E2B"/>
    <w:rsid w:val="00385D62"/>
    <w:rsid w:val="00390370"/>
    <w:rsid w:val="00396063"/>
    <w:rsid w:val="003A6F49"/>
    <w:rsid w:val="003B1994"/>
    <w:rsid w:val="003B1BE5"/>
    <w:rsid w:val="003C190E"/>
    <w:rsid w:val="003C1C9A"/>
    <w:rsid w:val="003C369A"/>
    <w:rsid w:val="003C663F"/>
    <w:rsid w:val="003C7978"/>
    <w:rsid w:val="003D09DD"/>
    <w:rsid w:val="003E0024"/>
    <w:rsid w:val="003E1FC4"/>
    <w:rsid w:val="003E626A"/>
    <w:rsid w:val="003F2122"/>
    <w:rsid w:val="003F4022"/>
    <w:rsid w:val="00405CB2"/>
    <w:rsid w:val="00414AFB"/>
    <w:rsid w:val="0042662F"/>
    <w:rsid w:val="00430CB9"/>
    <w:rsid w:val="00433A52"/>
    <w:rsid w:val="00435A78"/>
    <w:rsid w:val="00437656"/>
    <w:rsid w:val="00440955"/>
    <w:rsid w:val="00456AEC"/>
    <w:rsid w:val="00463D9A"/>
    <w:rsid w:val="0047179D"/>
    <w:rsid w:val="00482A64"/>
    <w:rsid w:val="00493DCC"/>
    <w:rsid w:val="004A0266"/>
    <w:rsid w:val="004A519B"/>
    <w:rsid w:val="004B2A78"/>
    <w:rsid w:val="004C5BE1"/>
    <w:rsid w:val="004D11D2"/>
    <w:rsid w:val="004E032E"/>
    <w:rsid w:val="004E717D"/>
    <w:rsid w:val="004F047C"/>
    <w:rsid w:val="004F088A"/>
    <w:rsid w:val="004F5CA1"/>
    <w:rsid w:val="004F781E"/>
    <w:rsid w:val="00504EB4"/>
    <w:rsid w:val="00505DF9"/>
    <w:rsid w:val="00507863"/>
    <w:rsid w:val="005113F1"/>
    <w:rsid w:val="005121FE"/>
    <w:rsid w:val="0051740B"/>
    <w:rsid w:val="0052120D"/>
    <w:rsid w:val="00525292"/>
    <w:rsid w:val="00532A3C"/>
    <w:rsid w:val="005416D9"/>
    <w:rsid w:val="00541968"/>
    <w:rsid w:val="00543B78"/>
    <w:rsid w:val="00560B01"/>
    <w:rsid w:val="0056176F"/>
    <w:rsid w:val="005708BD"/>
    <w:rsid w:val="0057252A"/>
    <w:rsid w:val="005877D3"/>
    <w:rsid w:val="00590CFD"/>
    <w:rsid w:val="005A1122"/>
    <w:rsid w:val="005B3B2B"/>
    <w:rsid w:val="005E477E"/>
    <w:rsid w:val="005E53CA"/>
    <w:rsid w:val="005F2B28"/>
    <w:rsid w:val="005F5BBD"/>
    <w:rsid w:val="0060328A"/>
    <w:rsid w:val="006103C6"/>
    <w:rsid w:val="00614DCA"/>
    <w:rsid w:val="00615378"/>
    <w:rsid w:val="00615C7A"/>
    <w:rsid w:val="006162CD"/>
    <w:rsid w:val="0062401A"/>
    <w:rsid w:val="00624B72"/>
    <w:rsid w:val="0062551D"/>
    <w:rsid w:val="0062719C"/>
    <w:rsid w:val="00635F24"/>
    <w:rsid w:val="00636B62"/>
    <w:rsid w:val="006501F5"/>
    <w:rsid w:val="00657A82"/>
    <w:rsid w:val="00680B11"/>
    <w:rsid w:val="00682A19"/>
    <w:rsid w:val="00686035"/>
    <w:rsid w:val="00686B9E"/>
    <w:rsid w:val="00695100"/>
    <w:rsid w:val="006A7B66"/>
    <w:rsid w:val="006D0247"/>
    <w:rsid w:val="006D06FB"/>
    <w:rsid w:val="006E2FF0"/>
    <w:rsid w:val="006F1E2B"/>
    <w:rsid w:val="006F2E90"/>
    <w:rsid w:val="006F4375"/>
    <w:rsid w:val="006F5AB7"/>
    <w:rsid w:val="006F6DA1"/>
    <w:rsid w:val="00703E81"/>
    <w:rsid w:val="00704940"/>
    <w:rsid w:val="0071276F"/>
    <w:rsid w:val="00713B59"/>
    <w:rsid w:val="00721941"/>
    <w:rsid w:val="007244DE"/>
    <w:rsid w:val="007311C6"/>
    <w:rsid w:val="007342B8"/>
    <w:rsid w:val="007365E0"/>
    <w:rsid w:val="00741CEC"/>
    <w:rsid w:val="0075203F"/>
    <w:rsid w:val="00756D91"/>
    <w:rsid w:val="00784826"/>
    <w:rsid w:val="007851D6"/>
    <w:rsid w:val="0078720A"/>
    <w:rsid w:val="00790213"/>
    <w:rsid w:val="007A09C5"/>
    <w:rsid w:val="007A64F0"/>
    <w:rsid w:val="007C035C"/>
    <w:rsid w:val="007D0185"/>
    <w:rsid w:val="007D1C78"/>
    <w:rsid w:val="007D6022"/>
    <w:rsid w:val="007E12FE"/>
    <w:rsid w:val="007E1734"/>
    <w:rsid w:val="007E252B"/>
    <w:rsid w:val="007E5A12"/>
    <w:rsid w:val="007F2417"/>
    <w:rsid w:val="007F5966"/>
    <w:rsid w:val="0080741C"/>
    <w:rsid w:val="00820798"/>
    <w:rsid w:val="00823069"/>
    <w:rsid w:val="00827E5D"/>
    <w:rsid w:val="00834516"/>
    <w:rsid w:val="008446DF"/>
    <w:rsid w:val="00847B1C"/>
    <w:rsid w:val="008660C5"/>
    <w:rsid w:val="00871608"/>
    <w:rsid w:val="00884003"/>
    <w:rsid w:val="00884CA0"/>
    <w:rsid w:val="008915CA"/>
    <w:rsid w:val="00894376"/>
    <w:rsid w:val="008A51A1"/>
    <w:rsid w:val="008B2535"/>
    <w:rsid w:val="008B4909"/>
    <w:rsid w:val="008B4DE4"/>
    <w:rsid w:val="008B7570"/>
    <w:rsid w:val="008C7F4D"/>
    <w:rsid w:val="008D0821"/>
    <w:rsid w:val="008D222F"/>
    <w:rsid w:val="008E5E3F"/>
    <w:rsid w:val="008F2315"/>
    <w:rsid w:val="008F4777"/>
    <w:rsid w:val="009001C1"/>
    <w:rsid w:val="00900DA5"/>
    <w:rsid w:val="00901D18"/>
    <w:rsid w:val="0090286B"/>
    <w:rsid w:val="00905E95"/>
    <w:rsid w:val="00925002"/>
    <w:rsid w:val="00931B34"/>
    <w:rsid w:val="0093225B"/>
    <w:rsid w:val="00933DA7"/>
    <w:rsid w:val="00934D6F"/>
    <w:rsid w:val="00950416"/>
    <w:rsid w:val="00957EDE"/>
    <w:rsid w:val="00963B9F"/>
    <w:rsid w:val="0096798A"/>
    <w:rsid w:val="0097185E"/>
    <w:rsid w:val="00972F11"/>
    <w:rsid w:val="009738B1"/>
    <w:rsid w:val="00975297"/>
    <w:rsid w:val="00975E8E"/>
    <w:rsid w:val="00976DA4"/>
    <w:rsid w:val="00987213"/>
    <w:rsid w:val="0099309D"/>
    <w:rsid w:val="009A1709"/>
    <w:rsid w:val="009A761C"/>
    <w:rsid w:val="009B24CD"/>
    <w:rsid w:val="009B41EB"/>
    <w:rsid w:val="009B43E4"/>
    <w:rsid w:val="009C1AE7"/>
    <w:rsid w:val="009C5C02"/>
    <w:rsid w:val="009C72AD"/>
    <w:rsid w:val="009D104E"/>
    <w:rsid w:val="009D5A64"/>
    <w:rsid w:val="009E177A"/>
    <w:rsid w:val="009E1ABB"/>
    <w:rsid w:val="009E3A66"/>
    <w:rsid w:val="009F1F03"/>
    <w:rsid w:val="009F4ECA"/>
    <w:rsid w:val="009F5B7C"/>
    <w:rsid w:val="00A00C46"/>
    <w:rsid w:val="00A06494"/>
    <w:rsid w:val="00A06F38"/>
    <w:rsid w:val="00A11879"/>
    <w:rsid w:val="00A24618"/>
    <w:rsid w:val="00A26B1F"/>
    <w:rsid w:val="00A278B5"/>
    <w:rsid w:val="00A359CD"/>
    <w:rsid w:val="00A47CDB"/>
    <w:rsid w:val="00A524A0"/>
    <w:rsid w:val="00A5561A"/>
    <w:rsid w:val="00A62618"/>
    <w:rsid w:val="00A64953"/>
    <w:rsid w:val="00A72203"/>
    <w:rsid w:val="00A77710"/>
    <w:rsid w:val="00A82753"/>
    <w:rsid w:val="00A87255"/>
    <w:rsid w:val="00A90D82"/>
    <w:rsid w:val="00AB002E"/>
    <w:rsid w:val="00AB6950"/>
    <w:rsid w:val="00AC1E4E"/>
    <w:rsid w:val="00AC3D9B"/>
    <w:rsid w:val="00AE20D4"/>
    <w:rsid w:val="00AE78FA"/>
    <w:rsid w:val="00B023C3"/>
    <w:rsid w:val="00B042F2"/>
    <w:rsid w:val="00B17208"/>
    <w:rsid w:val="00B17349"/>
    <w:rsid w:val="00B2318B"/>
    <w:rsid w:val="00B32377"/>
    <w:rsid w:val="00B34079"/>
    <w:rsid w:val="00B34633"/>
    <w:rsid w:val="00B4656E"/>
    <w:rsid w:val="00B51147"/>
    <w:rsid w:val="00B5383C"/>
    <w:rsid w:val="00B55B50"/>
    <w:rsid w:val="00B56A95"/>
    <w:rsid w:val="00B63FA4"/>
    <w:rsid w:val="00B7363C"/>
    <w:rsid w:val="00B74E3E"/>
    <w:rsid w:val="00B75EF8"/>
    <w:rsid w:val="00B77791"/>
    <w:rsid w:val="00B83170"/>
    <w:rsid w:val="00B92843"/>
    <w:rsid w:val="00B95EAF"/>
    <w:rsid w:val="00B963DB"/>
    <w:rsid w:val="00BA0654"/>
    <w:rsid w:val="00BA483F"/>
    <w:rsid w:val="00BB280B"/>
    <w:rsid w:val="00BB2953"/>
    <w:rsid w:val="00BC6107"/>
    <w:rsid w:val="00BC777D"/>
    <w:rsid w:val="00BD3334"/>
    <w:rsid w:val="00BE19B9"/>
    <w:rsid w:val="00BE3EB3"/>
    <w:rsid w:val="00BE56DF"/>
    <w:rsid w:val="00BF3B75"/>
    <w:rsid w:val="00BF5D6A"/>
    <w:rsid w:val="00C1457B"/>
    <w:rsid w:val="00C16436"/>
    <w:rsid w:val="00C3039E"/>
    <w:rsid w:val="00C3131F"/>
    <w:rsid w:val="00C3552A"/>
    <w:rsid w:val="00C36451"/>
    <w:rsid w:val="00C4415B"/>
    <w:rsid w:val="00C5154F"/>
    <w:rsid w:val="00C52D2C"/>
    <w:rsid w:val="00C56841"/>
    <w:rsid w:val="00C64AEE"/>
    <w:rsid w:val="00C70EF9"/>
    <w:rsid w:val="00C729BE"/>
    <w:rsid w:val="00C82826"/>
    <w:rsid w:val="00C919D7"/>
    <w:rsid w:val="00C929FE"/>
    <w:rsid w:val="00C9360C"/>
    <w:rsid w:val="00C93A98"/>
    <w:rsid w:val="00C970BD"/>
    <w:rsid w:val="00C97F1D"/>
    <w:rsid w:val="00CB1E34"/>
    <w:rsid w:val="00CB3FDC"/>
    <w:rsid w:val="00CB49BD"/>
    <w:rsid w:val="00CB7E7B"/>
    <w:rsid w:val="00CC5066"/>
    <w:rsid w:val="00CD3804"/>
    <w:rsid w:val="00CD6C56"/>
    <w:rsid w:val="00CD7A76"/>
    <w:rsid w:val="00CE39BA"/>
    <w:rsid w:val="00CE517F"/>
    <w:rsid w:val="00CE6118"/>
    <w:rsid w:val="00CE64B5"/>
    <w:rsid w:val="00D02ACF"/>
    <w:rsid w:val="00D137F6"/>
    <w:rsid w:val="00D1495F"/>
    <w:rsid w:val="00D24B0F"/>
    <w:rsid w:val="00D24CA8"/>
    <w:rsid w:val="00D262D6"/>
    <w:rsid w:val="00D3075E"/>
    <w:rsid w:val="00D3229E"/>
    <w:rsid w:val="00D34452"/>
    <w:rsid w:val="00D448DD"/>
    <w:rsid w:val="00D633EE"/>
    <w:rsid w:val="00D70AD7"/>
    <w:rsid w:val="00D71EFC"/>
    <w:rsid w:val="00D74A74"/>
    <w:rsid w:val="00D809BF"/>
    <w:rsid w:val="00D921F2"/>
    <w:rsid w:val="00DA2300"/>
    <w:rsid w:val="00DC0CEF"/>
    <w:rsid w:val="00DC141A"/>
    <w:rsid w:val="00DC1AB7"/>
    <w:rsid w:val="00DC4333"/>
    <w:rsid w:val="00DC466D"/>
    <w:rsid w:val="00DC6AF7"/>
    <w:rsid w:val="00DE2DA0"/>
    <w:rsid w:val="00DE4DAA"/>
    <w:rsid w:val="00DE631C"/>
    <w:rsid w:val="00DF415E"/>
    <w:rsid w:val="00DF435A"/>
    <w:rsid w:val="00DF5832"/>
    <w:rsid w:val="00DF5869"/>
    <w:rsid w:val="00E06EA5"/>
    <w:rsid w:val="00E179A8"/>
    <w:rsid w:val="00E2068D"/>
    <w:rsid w:val="00E328FD"/>
    <w:rsid w:val="00E33CE1"/>
    <w:rsid w:val="00E3568B"/>
    <w:rsid w:val="00E57541"/>
    <w:rsid w:val="00E579EC"/>
    <w:rsid w:val="00E62678"/>
    <w:rsid w:val="00E6673C"/>
    <w:rsid w:val="00E71880"/>
    <w:rsid w:val="00E72B05"/>
    <w:rsid w:val="00E730AA"/>
    <w:rsid w:val="00E812C8"/>
    <w:rsid w:val="00E827A0"/>
    <w:rsid w:val="00E91C2B"/>
    <w:rsid w:val="00E93A14"/>
    <w:rsid w:val="00E95119"/>
    <w:rsid w:val="00E97CC3"/>
    <w:rsid w:val="00EB03C1"/>
    <w:rsid w:val="00EC62DC"/>
    <w:rsid w:val="00ED01BD"/>
    <w:rsid w:val="00ED4F78"/>
    <w:rsid w:val="00EE0363"/>
    <w:rsid w:val="00EE6914"/>
    <w:rsid w:val="00EF2717"/>
    <w:rsid w:val="00F026D2"/>
    <w:rsid w:val="00F02EE9"/>
    <w:rsid w:val="00F0390F"/>
    <w:rsid w:val="00F0517C"/>
    <w:rsid w:val="00F072D3"/>
    <w:rsid w:val="00F21DA5"/>
    <w:rsid w:val="00F2601F"/>
    <w:rsid w:val="00F31F72"/>
    <w:rsid w:val="00F338EC"/>
    <w:rsid w:val="00F5225B"/>
    <w:rsid w:val="00F546F0"/>
    <w:rsid w:val="00F56421"/>
    <w:rsid w:val="00F635B3"/>
    <w:rsid w:val="00F67B70"/>
    <w:rsid w:val="00F73C1F"/>
    <w:rsid w:val="00F776DA"/>
    <w:rsid w:val="00F77D6B"/>
    <w:rsid w:val="00F87E40"/>
    <w:rsid w:val="00F9780F"/>
    <w:rsid w:val="00FA2250"/>
    <w:rsid w:val="00FA5345"/>
    <w:rsid w:val="00FB1770"/>
    <w:rsid w:val="00FB4C0B"/>
    <w:rsid w:val="00FB7A49"/>
    <w:rsid w:val="00FC4630"/>
    <w:rsid w:val="00FD4BCB"/>
    <w:rsid w:val="00FE0414"/>
    <w:rsid w:val="00FE2994"/>
    <w:rsid w:val="00FE5E2B"/>
    <w:rsid w:val="00FF36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73EB"/>
    <w:pPr>
      <w:spacing w:line="240" w:lineRule="exact"/>
    </w:pPr>
    <w:rPr>
      <w:rFonts w:ascii="Calibri" w:hAnsi="Calibri"/>
      <w:lang w:val="en-GB"/>
    </w:rPr>
  </w:style>
  <w:style w:type="paragraph" w:styleId="Heading1">
    <w:name w:val="heading 1"/>
    <w:aliases w:val="Heading"/>
    <w:basedOn w:val="Heading2"/>
    <w:next w:val="Normal"/>
    <w:link w:val="Heading1Char"/>
    <w:uiPriority w:val="9"/>
    <w:qFormat/>
    <w:rsid w:val="00E179A8"/>
    <w:pPr>
      <w:spacing w:before="200" w:line="384" w:lineRule="exact"/>
      <w:outlineLvl w:val="0"/>
    </w:pPr>
    <w:rPr>
      <w:color w:val="003399"/>
      <w:sz w:val="36"/>
    </w:rPr>
  </w:style>
  <w:style w:type="paragraph" w:styleId="Heading2">
    <w:name w:val="heading 2"/>
    <w:aliases w:val="Subheading1"/>
    <w:basedOn w:val="Normal"/>
    <w:next w:val="Normal"/>
    <w:link w:val="Heading2Char"/>
    <w:uiPriority w:val="9"/>
    <w:unhideWhenUsed/>
    <w:qFormat/>
    <w:rsid w:val="001D6CDD"/>
    <w:pPr>
      <w:keepNext/>
      <w:suppressAutoHyphens/>
      <w:spacing w:before="60" w:after="60" w:line="336" w:lineRule="exact"/>
      <w:outlineLvl w:val="1"/>
    </w:pPr>
    <w:rPr>
      <w:rFonts w:eastAsia="MS Gothic"/>
      <w:b/>
      <w:bCs/>
      <w:color w:val="002087"/>
      <w:sz w:val="30"/>
      <w:szCs w:val="28"/>
    </w:rPr>
  </w:style>
  <w:style w:type="paragraph" w:styleId="Heading3">
    <w:name w:val="heading 3"/>
    <w:aliases w:val="Subheading2"/>
    <w:basedOn w:val="Heading2"/>
    <w:next w:val="Normal"/>
    <w:link w:val="Heading3Char"/>
    <w:uiPriority w:val="9"/>
    <w:unhideWhenUsed/>
    <w:qFormat/>
    <w:rsid w:val="00180210"/>
    <w:pPr>
      <w:outlineLvl w:val="2"/>
    </w:pPr>
    <w:rPr>
      <w:sz w:val="26"/>
    </w:rPr>
  </w:style>
  <w:style w:type="paragraph" w:styleId="Heading4">
    <w:name w:val="heading 4"/>
    <w:aliases w:val="Subheading3"/>
    <w:basedOn w:val="Normal"/>
    <w:next w:val="Normal"/>
    <w:link w:val="Heading4Char"/>
    <w:uiPriority w:val="9"/>
    <w:unhideWhenUsed/>
    <w:qFormat/>
    <w:rsid w:val="00180210"/>
    <w:pPr>
      <w:spacing w:before="60" w:after="60" w:line="288" w:lineRule="exact"/>
      <w:outlineLvl w:val="3"/>
    </w:pPr>
    <w:rPr>
      <w:b/>
      <w:color w:val="002087"/>
      <w:sz w:val="22"/>
      <w:szCs w:val="24"/>
    </w:rPr>
  </w:style>
  <w:style w:type="paragraph" w:styleId="Heading5">
    <w:name w:val="heading 5"/>
    <w:basedOn w:val="Normal"/>
    <w:next w:val="Normal"/>
    <w:link w:val="Heading5Char"/>
    <w:uiPriority w:val="9"/>
    <w:unhideWhenUsed/>
    <w:rsid w:val="00C919D7"/>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0628D5"/>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10"/>
    <w:rsid w:val="000628D5"/>
    <w:rPr>
      <w:rFonts w:ascii="Calibri" w:eastAsia="MS Gothic" w:hAnsi="Calibri" w:cs="Times New Roman"/>
      <w:color w:val="17365D"/>
      <w:spacing w:val="5"/>
      <w:kern w:val="28"/>
      <w:sz w:val="52"/>
      <w:szCs w:val="52"/>
    </w:rPr>
  </w:style>
  <w:style w:type="paragraph" w:styleId="NoSpacing">
    <w:name w:val="No Spacing"/>
    <w:link w:val="NoSpacingChar"/>
    <w:uiPriority w:val="1"/>
    <w:qFormat/>
    <w:rsid w:val="000628D5"/>
    <w:rPr>
      <w:rFonts w:ascii="Calibri" w:hAnsi="Calibri"/>
    </w:rPr>
  </w:style>
  <w:style w:type="character" w:customStyle="1" w:styleId="Heading1Char">
    <w:name w:val="Heading 1 Char"/>
    <w:aliases w:val="Heading Char"/>
    <w:link w:val="Heading1"/>
    <w:uiPriority w:val="9"/>
    <w:rsid w:val="00E179A8"/>
    <w:rPr>
      <w:rFonts w:ascii="Calibri" w:eastAsia="MS Gothic" w:hAnsi="Calibri"/>
      <w:b/>
      <w:bCs/>
      <w:color w:val="003399"/>
      <w:sz w:val="36"/>
      <w:szCs w:val="28"/>
      <w:lang w:val="en-GB"/>
    </w:rPr>
  </w:style>
  <w:style w:type="paragraph" w:customStyle="1" w:styleId="Basisalinea">
    <w:name w:val="[Basisalinea]"/>
    <w:basedOn w:val="Normal"/>
    <w:uiPriority w:val="99"/>
    <w:rsid w:val="000628D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2Char">
    <w:name w:val="Heading 2 Char"/>
    <w:aliases w:val="Subheading1 Char"/>
    <w:link w:val="Heading2"/>
    <w:uiPriority w:val="9"/>
    <w:rsid w:val="001D6CDD"/>
    <w:rPr>
      <w:rFonts w:ascii="Calibri" w:eastAsia="MS Gothic" w:hAnsi="Calibri"/>
      <w:b/>
      <w:bCs/>
      <w:color w:val="002087"/>
      <w:sz w:val="30"/>
      <w:szCs w:val="28"/>
      <w:lang w:val="en-GB"/>
    </w:rPr>
  </w:style>
  <w:style w:type="character" w:styleId="SubtleEmphasis">
    <w:name w:val="Subtle Emphasis"/>
    <w:uiPriority w:val="19"/>
    <w:rsid w:val="000628D5"/>
    <w:rPr>
      <w:i/>
      <w:iCs/>
      <w:color w:val="808080"/>
    </w:rPr>
  </w:style>
  <w:style w:type="character" w:styleId="Emphasis">
    <w:name w:val="Emphasis"/>
    <w:uiPriority w:val="20"/>
    <w:qFormat/>
    <w:rsid w:val="000628D5"/>
    <w:rPr>
      <w:i/>
      <w:iCs/>
    </w:rPr>
  </w:style>
  <w:style w:type="paragraph" w:styleId="Quote">
    <w:name w:val="Quote"/>
    <w:basedOn w:val="Normal"/>
    <w:next w:val="Normal"/>
    <w:link w:val="QuoteChar"/>
    <w:uiPriority w:val="29"/>
    <w:qFormat/>
    <w:rsid w:val="000628D5"/>
    <w:rPr>
      <w:i/>
      <w:iCs/>
      <w:color w:val="000000"/>
    </w:rPr>
  </w:style>
  <w:style w:type="character" w:customStyle="1" w:styleId="QuoteChar">
    <w:name w:val="Quote Char"/>
    <w:link w:val="Quote"/>
    <w:uiPriority w:val="29"/>
    <w:rsid w:val="000628D5"/>
    <w:rPr>
      <w:rFonts w:ascii="Calibri" w:hAnsi="Calibri"/>
      <w:i/>
      <w:iCs/>
      <w:color w:val="000000"/>
      <w:sz w:val="20"/>
      <w:szCs w:val="20"/>
      <w:lang w:val="nl-NL"/>
    </w:rPr>
  </w:style>
  <w:style w:type="paragraph" w:customStyle="1" w:styleId="Introduction">
    <w:name w:val="Introduction"/>
    <w:basedOn w:val="Normal"/>
    <w:qFormat/>
    <w:rsid w:val="00B32377"/>
    <w:pPr>
      <w:spacing w:before="100" w:beforeAutospacing="1" w:line="320" w:lineRule="exact"/>
      <w:contextualSpacing/>
    </w:pPr>
    <w:rPr>
      <w:sz w:val="26"/>
    </w:rPr>
  </w:style>
  <w:style w:type="paragraph" w:styleId="Header">
    <w:name w:val="header"/>
    <w:basedOn w:val="Normal"/>
    <w:link w:val="HeaderChar"/>
    <w:uiPriority w:val="99"/>
    <w:unhideWhenUsed/>
    <w:rsid w:val="00C3552A"/>
    <w:pPr>
      <w:tabs>
        <w:tab w:val="center" w:pos="4536"/>
        <w:tab w:val="right" w:pos="9072"/>
      </w:tabs>
      <w:spacing w:line="240" w:lineRule="auto"/>
    </w:pPr>
  </w:style>
  <w:style w:type="character" w:customStyle="1" w:styleId="HeaderChar">
    <w:name w:val="Header Char"/>
    <w:link w:val="Header"/>
    <w:uiPriority w:val="99"/>
    <w:rsid w:val="00C3552A"/>
    <w:rPr>
      <w:rFonts w:ascii="Calibri" w:hAnsi="Calibri"/>
      <w:sz w:val="20"/>
      <w:szCs w:val="20"/>
      <w:lang w:val="nl-NL"/>
    </w:rPr>
  </w:style>
  <w:style w:type="paragraph" w:styleId="Footer">
    <w:name w:val="footer"/>
    <w:basedOn w:val="Normal"/>
    <w:link w:val="FooterChar"/>
    <w:uiPriority w:val="99"/>
    <w:unhideWhenUsed/>
    <w:rsid w:val="00C3552A"/>
    <w:pPr>
      <w:tabs>
        <w:tab w:val="center" w:pos="4536"/>
        <w:tab w:val="right" w:pos="9072"/>
      </w:tabs>
      <w:spacing w:line="240" w:lineRule="auto"/>
    </w:pPr>
  </w:style>
  <w:style w:type="character" w:customStyle="1" w:styleId="FooterChar">
    <w:name w:val="Footer Char"/>
    <w:link w:val="Footer"/>
    <w:uiPriority w:val="99"/>
    <w:rsid w:val="00C3552A"/>
    <w:rPr>
      <w:rFonts w:ascii="Calibri" w:hAnsi="Calibri"/>
      <w:sz w:val="20"/>
      <w:szCs w:val="20"/>
      <w:lang w:val="nl-NL"/>
    </w:rPr>
  </w:style>
  <w:style w:type="character" w:customStyle="1" w:styleId="NoSpacingChar">
    <w:name w:val="No Spacing Char"/>
    <w:link w:val="NoSpacing"/>
    <w:uiPriority w:val="1"/>
    <w:rsid w:val="00C3552A"/>
    <w:rPr>
      <w:rFonts w:ascii="Calibri" w:hAnsi="Calibri"/>
      <w:sz w:val="20"/>
      <w:szCs w:val="20"/>
      <w:lang w:val="nl-NL"/>
    </w:rPr>
  </w:style>
  <w:style w:type="character" w:styleId="Hyperlink">
    <w:name w:val="Hyperlink"/>
    <w:uiPriority w:val="99"/>
    <w:unhideWhenUsed/>
    <w:rsid w:val="00C3552A"/>
    <w:rPr>
      <w:color w:val="0000FF"/>
      <w:u w:val="single"/>
    </w:rPr>
  </w:style>
  <w:style w:type="paragraph" w:styleId="BalloonText">
    <w:name w:val="Balloon Text"/>
    <w:basedOn w:val="Normal"/>
    <w:link w:val="BalloonTextChar"/>
    <w:uiPriority w:val="99"/>
    <w:semiHidden/>
    <w:unhideWhenUsed/>
    <w:rsid w:val="00C3552A"/>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3552A"/>
    <w:rPr>
      <w:rFonts w:ascii="Lucida Grande" w:hAnsi="Lucida Grande" w:cs="Lucida Grande"/>
      <w:sz w:val="18"/>
      <w:szCs w:val="18"/>
      <w:lang w:val="nl-NL"/>
    </w:rPr>
  </w:style>
  <w:style w:type="paragraph" w:styleId="ListParagraph">
    <w:name w:val="List Paragraph"/>
    <w:basedOn w:val="Normal"/>
    <w:uiPriority w:val="34"/>
    <w:qFormat/>
    <w:rsid w:val="00D24B0F"/>
    <w:pPr>
      <w:ind w:left="720"/>
      <w:contextualSpacing/>
    </w:pPr>
  </w:style>
  <w:style w:type="paragraph" w:customStyle="1" w:styleId="Enumeration">
    <w:name w:val="Enumeration"/>
    <w:basedOn w:val="Normal"/>
    <w:qFormat/>
    <w:rsid w:val="00DE631C"/>
    <w:pPr>
      <w:numPr>
        <w:numId w:val="6"/>
      </w:numPr>
    </w:pPr>
  </w:style>
  <w:style w:type="character" w:styleId="PageNumber">
    <w:name w:val="page number"/>
    <w:uiPriority w:val="99"/>
    <w:semiHidden/>
    <w:unhideWhenUsed/>
    <w:rsid w:val="00D70AD7"/>
  </w:style>
  <w:style w:type="paragraph" w:styleId="TOC1">
    <w:name w:val="toc 1"/>
    <w:basedOn w:val="Normal"/>
    <w:next w:val="Normal"/>
    <w:autoRedefine/>
    <w:uiPriority w:val="39"/>
    <w:unhideWhenUsed/>
    <w:rsid w:val="009B41EB"/>
  </w:style>
  <w:style w:type="paragraph" w:styleId="TOC2">
    <w:name w:val="toc 2"/>
    <w:basedOn w:val="Normal"/>
    <w:next w:val="Normal"/>
    <w:autoRedefine/>
    <w:uiPriority w:val="39"/>
    <w:unhideWhenUsed/>
    <w:rsid w:val="009B41EB"/>
    <w:pPr>
      <w:ind w:left="200"/>
    </w:pPr>
  </w:style>
  <w:style w:type="paragraph" w:styleId="TOC3">
    <w:name w:val="toc 3"/>
    <w:basedOn w:val="Normal"/>
    <w:next w:val="Normal"/>
    <w:autoRedefine/>
    <w:uiPriority w:val="39"/>
    <w:unhideWhenUsed/>
    <w:rsid w:val="009B41EB"/>
    <w:pPr>
      <w:ind w:left="400"/>
    </w:pPr>
  </w:style>
  <w:style w:type="paragraph" w:styleId="TOC4">
    <w:name w:val="toc 4"/>
    <w:basedOn w:val="Normal"/>
    <w:next w:val="Normal"/>
    <w:autoRedefine/>
    <w:uiPriority w:val="39"/>
    <w:unhideWhenUsed/>
    <w:rsid w:val="009B41EB"/>
    <w:pPr>
      <w:ind w:left="600"/>
    </w:pPr>
  </w:style>
  <w:style w:type="paragraph" w:styleId="TOC5">
    <w:name w:val="toc 5"/>
    <w:basedOn w:val="Normal"/>
    <w:next w:val="Normal"/>
    <w:autoRedefine/>
    <w:uiPriority w:val="39"/>
    <w:unhideWhenUsed/>
    <w:rsid w:val="009B41EB"/>
    <w:pPr>
      <w:ind w:left="800"/>
    </w:pPr>
  </w:style>
  <w:style w:type="paragraph" w:styleId="TOC6">
    <w:name w:val="toc 6"/>
    <w:basedOn w:val="Normal"/>
    <w:next w:val="Normal"/>
    <w:autoRedefine/>
    <w:uiPriority w:val="39"/>
    <w:unhideWhenUsed/>
    <w:rsid w:val="009B41EB"/>
    <w:pPr>
      <w:ind w:left="1000"/>
    </w:pPr>
  </w:style>
  <w:style w:type="paragraph" w:styleId="TOC7">
    <w:name w:val="toc 7"/>
    <w:basedOn w:val="Normal"/>
    <w:next w:val="Normal"/>
    <w:autoRedefine/>
    <w:uiPriority w:val="39"/>
    <w:unhideWhenUsed/>
    <w:rsid w:val="009B41EB"/>
    <w:pPr>
      <w:ind w:left="1200"/>
    </w:pPr>
  </w:style>
  <w:style w:type="paragraph" w:styleId="TOC8">
    <w:name w:val="toc 8"/>
    <w:basedOn w:val="Normal"/>
    <w:next w:val="Normal"/>
    <w:autoRedefine/>
    <w:uiPriority w:val="39"/>
    <w:unhideWhenUsed/>
    <w:rsid w:val="009B41EB"/>
    <w:pPr>
      <w:ind w:left="1400"/>
    </w:pPr>
  </w:style>
  <w:style w:type="paragraph" w:styleId="TOC9">
    <w:name w:val="toc 9"/>
    <w:basedOn w:val="Normal"/>
    <w:next w:val="Normal"/>
    <w:autoRedefine/>
    <w:uiPriority w:val="39"/>
    <w:unhideWhenUsed/>
    <w:rsid w:val="009B41EB"/>
    <w:pPr>
      <w:ind w:left="1600"/>
    </w:pPr>
  </w:style>
  <w:style w:type="character" w:customStyle="1" w:styleId="Heading3Char">
    <w:name w:val="Heading 3 Char"/>
    <w:aliases w:val="Subheading2 Char"/>
    <w:link w:val="Heading3"/>
    <w:uiPriority w:val="9"/>
    <w:rsid w:val="00180210"/>
    <w:rPr>
      <w:rFonts w:ascii="Calibri" w:eastAsia="MS Gothic" w:hAnsi="Calibri"/>
      <w:b/>
      <w:bCs/>
      <w:color w:val="002087"/>
      <w:sz w:val="26"/>
      <w:szCs w:val="28"/>
      <w:lang w:val="en-GB"/>
    </w:rPr>
  </w:style>
  <w:style w:type="character" w:customStyle="1" w:styleId="Heading4Char">
    <w:name w:val="Heading 4 Char"/>
    <w:aliases w:val="Subheading3 Char"/>
    <w:link w:val="Heading4"/>
    <w:uiPriority w:val="9"/>
    <w:rsid w:val="00180210"/>
    <w:rPr>
      <w:rFonts w:ascii="Calibri" w:hAnsi="Calibri"/>
      <w:b/>
      <w:color w:val="002087"/>
      <w:sz w:val="22"/>
      <w:szCs w:val="24"/>
      <w:lang w:val="en-GB"/>
    </w:rPr>
  </w:style>
  <w:style w:type="character" w:customStyle="1" w:styleId="Heading5Char">
    <w:name w:val="Heading 5 Char"/>
    <w:link w:val="Heading5"/>
    <w:uiPriority w:val="9"/>
    <w:rsid w:val="00C919D7"/>
    <w:rPr>
      <w:rFonts w:ascii="Cambria" w:eastAsia="MS Mincho" w:hAnsi="Cambria" w:cs="Times New Roman"/>
      <w:b/>
      <w:bCs/>
      <w:i/>
      <w:iCs/>
      <w:sz w:val="26"/>
      <w:szCs w:val="26"/>
      <w:lang w:val="en-GB"/>
    </w:rPr>
  </w:style>
  <w:style w:type="paragraph" w:customStyle="1" w:styleId="Kop3">
    <w:name w:val="Kop3"/>
    <w:basedOn w:val="Normal"/>
    <w:rsid w:val="00741CEC"/>
  </w:style>
  <w:style w:type="table" w:styleId="TableGrid">
    <w:name w:val="Table Grid"/>
    <w:basedOn w:val="TableNormal"/>
    <w:uiPriority w:val="59"/>
    <w:rsid w:val="004B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Normal"/>
    <w:rsid w:val="004B2A78"/>
    <w:rPr>
      <w:rFonts w:asciiTheme="majorHAnsi" w:hAnsiTheme="majorHAnsi"/>
      <w:lang w:val="nl-NL"/>
    </w:rPr>
  </w:style>
  <w:style w:type="paragraph" w:customStyle="1" w:styleId="Vrijevorm">
    <w:name w:val="Vrije vorm"/>
    <w:rsid w:val="00900DA5"/>
    <w:rPr>
      <w:rFonts w:ascii="Helvetica" w:eastAsia="ヒラギノ角ゴ Pro W3" w:hAnsi="Helvetica"/>
      <w:color w:val="000000"/>
      <w:sz w:val="24"/>
    </w:rPr>
  </w:style>
  <w:style w:type="paragraph" w:customStyle="1" w:styleId="frontpageSubheading">
    <w:name w:val="frontpage Subheading"/>
    <w:basedOn w:val="Normal"/>
    <w:qFormat/>
    <w:rsid w:val="00900DA5"/>
    <w:pPr>
      <w:spacing w:after="40"/>
    </w:pPr>
    <w:rPr>
      <w:b/>
      <w:color w:val="002087"/>
      <w:sz w:val="16"/>
      <w:lang w:val="en-US"/>
    </w:rPr>
  </w:style>
  <w:style w:type="paragraph" w:styleId="FootnoteText">
    <w:name w:val="footnote text"/>
    <w:aliases w:val="Schriftart: 9 pt,Schriftart: 10 pt,Schriftart: 8 pt,WB-Fußnotentext,fn,Footnotes,Footnote ak,Footnote Text Char,FoodNote,ft,Footnote text,Footnote,Footnote Text Char1,Footnote Text Char Char,Footnote Text Char1 Char Char,Podrozdział"/>
    <w:basedOn w:val="Normal"/>
    <w:link w:val="FootnoteTextChar2"/>
    <w:uiPriority w:val="99"/>
    <w:semiHidden/>
    <w:rsid w:val="002C48A4"/>
    <w:pPr>
      <w:spacing w:after="200" w:line="276" w:lineRule="auto"/>
      <w:ind w:left="357" w:hanging="357"/>
      <w:jc w:val="both"/>
    </w:pPr>
    <w:rPr>
      <w:rFonts w:eastAsiaTheme="minorEastAsia" w:cstheme="minorBidi"/>
      <w:color w:val="000F43" w:themeColor="text2" w:themeShade="80"/>
      <w:sz w:val="24"/>
      <w:szCs w:val="24"/>
      <w:lang w:val="nl-NL"/>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text Char,Footnote Char,Footnote Text Char1 Char"/>
    <w:basedOn w:val="DefaultParagraphFont"/>
    <w:link w:val="FootnoteText"/>
    <w:semiHidden/>
    <w:rsid w:val="002C48A4"/>
    <w:rPr>
      <w:rFonts w:ascii="Calibri" w:eastAsiaTheme="minorEastAsia" w:hAnsi="Calibri" w:cstheme="minorBidi"/>
      <w:color w:val="000F43" w:themeColor="text2" w:themeShade="80"/>
      <w:sz w:val="24"/>
      <w:szCs w:val="24"/>
    </w:rPr>
  </w:style>
  <w:style w:type="character" w:styleId="FootnoteReference">
    <w:name w:val="footnote reference"/>
    <w:aliases w:val="Footnote symbol,Times 10 Point,Exposant 3 Point"/>
    <w:uiPriority w:val="99"/>
    <w:semiHidden/>
    <w:rsid w:val="002C48A4"/>
    <w:rPr>
      <w:vertAlign w:val="superscript"/>
    </w:rPr>
  </w:style>
  <w:style w:type="paragraph" w:customStyle="1" w:styleId="Foottext">
    <w:name w:val="Foottext"/>
    <w:basedOn w:val="Footer"/>
    <w:qFormat/>
    <w:rsid w:val="007E252B"/>
    <w:pPr>
      <w:ind w:left="284"/>
    </w:pPr>
    <w:rPr>
      <w:color w:val="000000" w:themeColor="text1"/>
      <w:lang w:val="en-US"/>
    </w:rPr>
  </w:style>
  <w:style w:type="paragraph" w:customStyle="1" w:styleId="EndNoteBibliography">
    <w:name w:val="EndNote Bibliography"/>
    <w:basedOn w:val="Normal"/>
    <w:link w:val="EndNoteBibliographyChar"/>
    <w:rsid w:val="00A11879"/>
    <w:pPr>
      <w:spacing w:after="200" w:line="240" w:lineRule="auto"/>
    </w:pPr>
    <w:rPr>
      <w:rFonts w:eastAsiaTheme="minorHAnsi" w:cstheme="minorBidi"/>
      <w:noProof/>
      <w:sz w:val="22"/>
      <w:szCs w:val="22"/>
      <w:lang w:val="en-US" w:eastAsia="en-US"/>
    </w:rPr>
  </w:style>
  <w:style w:type="character" w:customStyle="1" w:styleId="EndNoteBibliographyChar">
    <w:name w:val="EndNote Bibliography Char"/>
    <w:basedOn w:val="DefaultParagraphFont"/>
    <w:link w:val="EndNoteBibliography"/>
    <w:rsid w:val="00A11879"/>
    <w:rPr>
      <w:rFonts w:ascii="Calibri" w:eastAsiaTheme="minorHAnsi" w:hAnsi="Calibri" w:cstheme="minorBidi"/>
      <w:noProof/>
      <w:sz w:val="22"/>
      <w:szCs w:val="22"/>
      <w:lang w:val="en-US" w:eastAsia="en-US"/>
    </w:rPr>
  </w:style>
  <w:style w:type="paragraph" w:styleId="Caption">
    <w:name w:val="caption"/>
    <w:basedOn w:val="Normal"/>
    <w:next w:val="Normal"/>
    <w:uiPriority w:val="35"/>
    <w:unhideWhenUsed/>
    <w:qFormat/>
    <w:rsid w:val="00F21DA5"/>
    <w:pPr>
      <w:spacing w:after="240" w:line="240" w:lineRule="auto"/>
    </w:pPr>
    <w:rPr>
      <w:rFonts w:eastAsiaTheme="minorHAnsi" w:cstheme="minorBidi"/>
      <w:b/>
      <w:bCs/>
      <w:sz w:val="22"/>
      <w:szCs w:val="18"/>
      <w:lang w:eastAsia="en-U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pPr>
      <w:spacing w:line="240" w:lineRule="auto"/>
    </w:pPr>
  </w:style>
  <w:style w:type="character" w:customStyle="1" w:styleId="CommentTextChar">
    <w:name w:val="Comment Text Char"/>
    <w:basedOn w:val="DefaultParagraphFont"/>
    <w:link w:val="CommentText"/>
    <w:uiPriority w:val="99"/>
    <w:semiHidden/>
    <w:rsid w:val="00377E2B"/>
    <w:rPr>
      <w:rFonts w:ascii="Calibri" w:hAnsi="Calibri"/>
      <w:lang w:val="en-GB"/>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rFonts w:ascii="Calibri" w:hAnsi="Calibri"/>
      <w:b/>
      <w:bCs/>
      <w:lang w:val="en-GB"/>
    </w:rPr>
  </w:style>
  <w:style w:type="paragraph" w:customStyle="1" w:styleId="GEDIbooktablefigure">
    <w:name w:val="GEDI book table figure"/>
    <w:basedOn w:val="Normal"/>
    <w:qFormat/>
    <w:rsid w:val="001B374C"/>
    <w:pPr>
      <w:spacing w:line="240" w:lineRule="auto"/>
    </w:pPr>
    <w:rPr>
      <w:rFonts w:ascii="Arial Narrow" w:eastAsia="Times New Roman" w:hAnsi="Arial Narrow"/>
      <w:b/>
      <w:sz w:val="24"/>
      <w:szCs w:val="24"/>
      <w:lang w:val="en-US" w:eastAsia="en-US"/>
    </w:rPr>
  </w:style>
  <w:style w:type="character" w:customStyle="1" w:styleId="italic">
    <w:name w:val="italic"/>
    <w:basedOn w:val="DefaultParagraphFont"/>
    <w:rsid w:val="00FF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73EB"/>
    <w:pPr>
      <w:spacing w:line="240" w:lineRule="exact"/>
    </w:pPr>
    <w:rPr>
      <w:rFonts w:ascii="Calibri" w:hAnsi="Calibri"/>
      <w:lang w:val="en-GB"/>
    </w:rPr>
  </w:style>
  <w:style w:type="paragraph" w:styleId="Heading1">
    <w:name w:val="heading 1"/>
    <w:aliases w:val="Heading"/>
    <w:basedOn w:val="Heading2"/>
    <w:next w:val="Normal"/>
    <w:link w:val="Heading1Char"/>
    <w:uiPriority w:val="9"/>
    <w:qFormat/>
    <w:rsid w:val="00E179A8"/>
    <w:pPr>
      <w:spacing w:before="200" w:line="384" w:lineRule="exact"/>
      <w:outlineLvl w:val="0"/>
    </w:pPr>
    <w:rPr>
      <w:color w:val="003399"/>
      <w:sz w:val="36"/>
    </w:rPr>
  </w:style>
  <w:style w:type="paragraph" w:styleId="Heading2">
    <w:name w:val="heading 2"/>
    <w:aliases w:val="Subheading1"/>
    <w:basedOn w:val="Normal"/>
    <w:next w:val="Normal"/>
    <w:link w:val="Heading2Char"/>
    <w:uiPriority w:val="9"/>
    <w:unhideWhenUsed/>
    <w:qFormat/>
    <w:rsid w:val="001D6CDD"/>
    <w:pPr>
      <w:keepNext/>
      <w:suppressAutoHyphens/>
      <w:spacing w:before="60" w:after="60" w:line="336" w:lineRule="exact"/>
      <w:outlineLvl w:val="1"/>
    </w:pPr>
    <w:rPr>
      <w:rFonts w:eastAsia="MS Gothic"/>
      <w:b/>
      <w:bCs/>
      <w:color w:val="002087"/>
      <w:sz w:val="30"/>
      <w:szCs w:val="28"/>
    </w:rPr>
  </w:style>
  <w:style w:type="paragraph" w:styleId="Heading3">
    <w:name w:val="heading 3"/>
    <w:aliases w:val="Subheading2"/>
    <w:basedOn w:val="Heading2"/>
    <w:next w:val="Normal"/>
    <w:link w:val="Heading3Char"/>
    <w:uiPriority w:val="9"/>
    <w:unhideWhenUsed/>
    <w:qFormat/>
    <w:rsid w:val="00180210"/>
    <w:pPr>
      <w:outlineLvl w:val="2"/>
    </w:pPr>
    <w:rPr>
      <w:sz w:val="26"/>
    </w:rPr>
  </w:style>
  <w:style w:type="paragraph" w:styleId="Heading4">
    <w:name w:val="heading 4"/>
    <w:aliases w:val="Subheading3"/>
    <w:basedOn w:val="Normal"/>
    <w:next w:val="Normal"/>
    <w:link w:val="Heading4Char"/>
    <w:uiPriority w:val="9"/>
    <w:unhideWhenUsed/>
    <w:qFormat/>
    <w:rsid w:val="00180210"/>
    <w:pPr>
      <w:spacing w:before="60" w:after="60" w:line="288" w:lineRule="exact"/>
      <w:outlineLvl w:val="3"/>
    </w:pPr>
    <w:rPr>
      <w:b/>
      <w:color w:val="002087"/>
      <w:sz w:val="22"/>
      <w:szCs w:val="24"/>
    </w:rPr>
  </w:style>
  <w:style w:type="paragraph" w:styleId="Heading5">
    <w:name w:val="heading 5"/>
    <w:basedOn w:val="Normal"/>
    <w:next w:val="Normal"/>
    <w:link w:val="Heading5Char"/>
    <w:uiPriority w:val="9"/>
    <w:unhideWhenUsed/>
    <w:rsid w:val="00C919D7"/>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0628D5"/>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10"/>
    <w:rsid w:val="000628D5"/>
    <w:rPr>
      <w:rFonts w:ascii="Calibri" w:eastAsia="MS Gothic" w:hAnsi="Calibri" w:cs="Times New Roman"/>
      <w:color w:val="17365D"/>
      <w:spacing w:val="5"/>
      <w:kern w:val="28"/>
      <w:sz w:val="52"/>
      <w:szCs w:val="52"/>
    </w:rPr>
  </w:style>
  <w:style w:type="paragraph" w:styleId="NoSpacing">
    <w:name w:val="No Spacing"/>
    <w:link w:val="NoSpacingChar"/>
    <w:uiPriority w:val="1"/>
    <w:qFormat/>
    <w:rsid w:val="000628D5"/>
    <w:rPr>
      <w:rFonts w:ascii="Calibri" w:hAnsi="Calibri"/>
    </w:rPr>
  </w:style>
  <w:style w:type="character" w:customStyle="1" w:styleId="Heading1Char">
    <w:name w:val="Heading 1 Char"/>
    <w:aliases w:val="Heading Char"/>
    <w:link w:val="Heading1"/>
    <w:uiPriority w:val="9"/>
    <w:rsid w:val="00E179A8"/>
    <w:rPr>
      <w:rFonts w:ascii="Calibri" w:eastAsia="MS Gothic" w:hAnsi="Calibri"/>
      <w:b/>
      <w:bCs/>
      <w:color w:val="003399"/>
      <w:sz w:val="36"/>
      <w:szCs w:val="28"/>
      <w:lang w:val="en-GB"/>
    </w:rPr>
  </w:style>
  <w:style w:type="paragraph" w:customStyle="1" w:styleId="Basisalinea">
    <w:name w:val="[Basisalinea]"/>
    <w:basedOn w:val="Normal"/>
    <w:uiPriority w:val="99"/>
    <w:rsid w:val="000628D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2Char">
    <w:name w:val="Heading 2 Char"/>
    <w:aliases w:val="Subheading1 Char"/>
    <w:link w:val="Heading2"/>
    <w:uiPriority w:val="9"/>
    <w:rsid w:val="001D6CDD"/>
    <w:rPr>
      <w:rFonts w:ascii="Calibri" w:eastAsia="MS Gothic" w:hAnsi="Calibri"/>
      <w:b/>
      <w:bCs/>
      <w:color w:val="002087"/>
      <w:sz w:val="30"/>
      <w:szCs w:val="28"/>
      <w:lang w:val="en-GB"/>
    </w:rPr>
  </w:style>
  <w:style w:type="character" w:styleId="SubtleEmphasis">
    <w:name w:val="Subtle Emphasis"/>
    <w:uiPriority w:val="19"/>
    <w:rsid w:val="000628D5"/>
    <w:rPr>
      <w:i/>
      <w:iCs/>
      <w:color w:val="808080"/>
    </w:rPr>
  </w:style>
  <w:style w:type="character" w:styleId="Emphasis">
    <w:name w:val="Emphasis"/>
    <w:uiPriority w:val="20"/>
    <w:qFormat/>
    <w:rsid w:val="000628D5"/>
    <w:rPr>
      <w:i/>
      <w:iCs/>
    </w:rPr>
  </w:style>
  <w:style w:type="paragraph" w:styleId="Quote">
    <w:name w:val="Quote"/>
    <w:basedOn w:val="Normal"/>
    <w:next w:val="Normal"/>
    <w:link w:val="QuoteChar"/>
    <w:uiPriority w:val="29"/>
    <w:qFormat/>
    <w:rsid w:val="000628D5"/>
    <w:rPr>
      <w:i/>
      <w:iCs/>
      <w:color w:val="000000"/>
    </w:rPr>
  </w:style>
  <w:style w:type="character" w:customStyle="1" w:styleId="QuoteChar">
    <w:name w:val="Quote Char"/>
    <w:link w:val="Quote"/>
    <w:uiPriority w:val="29"/>
    <w:rsid w:val="000628D5"/>
    <w:rPr>
      <w:rFonts w:ascii="Calibri" w:hAnsi="Calibri"/>
      <w:i/>
      <w:iCs/>
      <w:color w:val="000000"/>
      <w:sz w:val="20"/>
      <w:szCs w:val="20"/>
      <w:lang w:val="nl-NL"/>
    </w:rPr>
  </w:style>
  <w:style w:type="paragraph" w:customStyle="1" w:styleId="Introduction">
    <w:name w:val="Introduction"/>
    <w:basedOn w:val="Normal"/>
    <w:qFormat/>
    <w:rsid w:val="00B32377"/>
    <w:pPr>
      <w:spacing w:before="100" w:beforeAutospacing="1" w:line="320" w:lineRule="exact"/>
      <w:contextualSpacing/>
    </w:pPr>
    <w:rPr>
      <w:sz w:val="26"/>
    </w:rPr>
  </w:style>
  <w:style w:type="paragraph" w:styleId="Header">
    <w:name w:val="header"/>
    <w:basedOn w:val="Normal"/>
    <w:link w:val="HeaderChar"/>
    <w:uiPriority w:val="99"/>
    <w:unhideWhenUsed/>
    <w:rsid w:val="00C3552A"/>
    <w:pPr>
      <w:tabs>
        <w:tab w:val="center" w:pos="4536"/>
        <w:tab w:val="right" w:pos="9072"/>
      </w:tabs>
      <w:spacing w:line="240" w:lineRule="auto"/>
    </w:pPr>
  </w:style>
  <w:style w:type="character" w:customStyle="1" w:styleId="HeaderChar">
    <w:name w:val="Header Char"/>
    <w:link w:val="Header"/>
    <w:uiPriority w:val="99"/>
    <w:rsid w:val="00C3552A"/>
    <w:rPr>
      <w:rFonts w:ascii="Calibri" w:hAnsi="Calibri"/>
      <w:sz w:val="20"/>
      <w:szCs w:val="20"/>
      <w:lang w:val="nl-NL"/>
    </w:rPr>
  </w:style>
  <w:style w:type="paragraph" w:styleId="Footer">
    <w:name w:val="footer"/>
    <w:basedOn w:val="Normal"/>
    <w:link w:val="FooterChar"/>
    <w:uiPriority w:val="99"/>
    <w:unhideWhenUsed/>
    <w:rsid w:val="00C3552A"/>
    <w:pPr>
      <w:tabs>
        <w:tab w:val="center" w:pos="4536"/>
        <w:tab w:val="right" w:pos="9072"/>
      </w:tabs>
      <w:spacing w:line="240" w:lineRule="auto"/>
    </w:pPr>
  </w:style>
  <w:style w:type="character" w:customStyle="1" w:styleId="FooterChar">
    <w:name w:val="Footer Char"/>
    <w:link w:val="Footer"/>
    <w:uiPriority w:val="99"/>
    <w:rsid w:val="00C3552A"/>
    <w:rPr>
      <w:rFonts w:ascii="Calibri" w:hAnsi="Calibri"/>
      <w:sz w:val="20"/>
      <w:szCs w:val="20"/>
      <w:lang w:val="nl-NL"/>
    </w:rPr>
  </w:style>
  <w:style w:type="character" w:customStyle="1" w:styleId="NoSpacingChar">
    <w:name w:val="No Spacing Char"/>
    <w:link w:val="NoSpacing"/>
    <w:uiPriority w:val="1"/>
    <w:rsid w:val="00C3552A"/>
    <w:rPr>
      <w:rFonts w:ascii="Calibri" w:hAnsi="Calibri"/>
      <w:sz w:val="20"/>
      <w:szCs w:val="20"/>
      <w:lang w:val="nl-NL"/>
    </w:rPr>
  </w:style>
  <w:style w:type="character" w:styleId="Hyperlink">
    <w:name w:val="Hyperlink"/>
    <w:uiPriority w:val="99"/>
    <w:unhideWhenUsed/>
    <w:rsid w:val="00C3552A"/>
    <w:rPr>
      <w:color w:val="0000FF"/>
      <w:u w:val="single"/>
    </w:rPr>
  </w:style>
  <w:style w:type="paragraph" w:styleId="BalloonText">
    <w:name w:val="Balloon Text"/>
    <w:basedOn w:val="Normal"/>
    <w:link w:val="BalloonTextChar"/>
    <w:uiPriority w:val="99"/>
    <w:semiHidden/>
    <w:unhideWhenUsed/>
    <w:rsid w:val="00C3552A"/>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3552A"/>
    <w:rPr>
      <w:rFonts w:ascii="Lucida Grande" w:hAnsi="Lucida Grande" w:cs="Lucida Grande"/>
      <w:sz w:val="18"/>
      <w:szCs w:val="18"/>
      <w:lang w:val="nl-NL"/>
    </w:rPr>
  </w:style>
  <w:style w:type="paragraph" w:styleId="ListParagraph">
    <w:name w:val="List Paragraph"/>
    <w:basedOn w:val="Normal"/>
    <w:uiPriority w:val="34"/>
    <w:qFormat/>
    <w:rsid w:val="00D24B0F"/>
    <w:pPr>
      <w:ind w:left="720"/>
      <w:contextualSpacing/>
    </w:pPr>
  </w:style>
  <w:style w:type="paragraph" w:customStyle="1" w:styleId="Enumeration">
    <w:name w:val="Enumeration"/>
    <w:basedOn w:val="Normal"/>
    <w:qFormat/>
    <w:rsid w:val="00DE631C"/>
    <w:pPr>
      <w:numPr>
        <w:numId w:val="6"/>
      </w:numPr>
    </w:pPr>
  </w:style>
  <w:style w:type="character" w:styleId="PageNumber">
    <w:name w:val="page number"/>
    <w:uiPriority w:val="99"/>
    <w:semiHidden/>
    <w:unhideWhenUsed/>
    <w:rsid w:val="00D70AD7"/>
  </w:style>
  <w:style w:type="paragraph" w:styleId="TOC1">
    <w:name w:val="toc 1"/>
    <w:basedOn w:val="Normal"/>
    <w:next w:val="Normal"/>
    <w:autoRedefine/>
    <w:uiPriority w:val="39"/>
    <w:unhideWhenUsed/>
    <w:rsid w:val="009B41EB"/>
  </w:style>
  <w:style w:type="paragraph" w:styleId="TOC2">
    <w:name w:val="toc 2"/>
    <w:basedOn w:val="Normal"/>
    <w:next w:val="Normal"/>
    <w:autoRedefine/>
    <w:uiPriority w:val="39"/>
    <w:unhideWhenUsed/>
    <w:rsid w:val="009B41EB"/>
    <w:pPr>
      <w:ind w:left="200"/>
    </w:pPr>
  </w:style>
  <w:style w:type="paragraph" w:styleId="TOC3">
    <w:name w:val="toc 3"/>
    <w:basedOn w:val="Normal"/>
    <w:next w:val="Normal"/>
    <w:autoRedefine/>
    <w:uiPriority w:val="39"/>
    <w:unhideWhenUsed/>
    <w:rsid w:val="009B41EB"/>
    <w:pPr>
      <w:ind w:left="400"/>
    </w:pPr>
  </w:style>
  <w:style w:type="paragraph" w:styleId="TOC4">
    <w:name w:val="toc 4"/>
    <w:basedOn w:val="Normal"/>
    <w:next w:val="Normal"/>
    <w:autoRedefine/>
    <w:uiPriority w:val="39"/>
    <w:unhideWhenUsed/>
    <w:rsid w:val="009B41EB"/>
    <w:pPr>
      <w:ind w:left="600"/>
    </w:pPr>
  </w:style>
  <w:style w:type="paragraph" w:styleId="TOC5">
    <w:name w:val="toc 5"/>
    <w:basedOn w:val="Normal"/>
    <w:next w:val="Normal"/>
    <w:autoRedefine/>
    <w:uiPriority w:val="39"/>
    <w:unhideWhenUsed/>
    <w:rsid w:val="009B41EB"/>
    <w:pPr>
      <w:ind w:left="800"/>
    </w:pPr>
  </w:style>
  <w:style w:type="paragraph" w:styleId="TOC6">
    <w:name w:val="toc 6"/>
    <w:basedOn w:val="Normal"/>
    <w:next w:val="Normal"/>
    <w:autoRedefine/>
    <w:uiPriority w:val="39"/>
    <w:unhideWhenUsed/>
    <w:rsid w:val="009B41EB"/>
    <w:pPr>
      <w:ind w:left="1000"/>
    </w:pPr>
  </w:style>
  <w:style w:type="paragraph" w:styleId="TOC7">
    <w:name w:val="toc 7"/>
    <w:basedOn w:val="Normal"/>
    <w:next w:val="Normal"/>
    <w:autoRedefine/>
    <w:uiPriority w:val="39"/>
    <w:unhideWhenUsed/>
    <w:rsid w:val="009B41EB"/>
    <w:pPr>
      <w:ind w:left="1200"/>
    </w:pPr>
  </w:style>
  <w:style w:type="paragraph" w:styleId="TOC8">
    <w:name w:val="toc 8"/>
    <w:basedOn w:val="Normal"/>
    <w:next w:val="Normal"/>
    <w:autoRedefine/>
    <w:uiPriority w:val="39"/>
    <w:unhideWhenUsed/>
    <w:rsid w:val="009B41EB"/>
    <w:pPr>
      <w:ind w:left="1400"/>
    </w:pPr>
  </w:style>
  <w:style w:type="paragraph" w:styleId="TOC9">
    <w:name w:val="toc 9"/>
    <w:basedOn w:val="Normal"/>
    <w:next w:val="Normal"/>
    <w:autoRedefine/>
    <w:uiPriority w:val="39"/>
    <w:unhideWhenUsed/>
    <w:rsid w:val="009B41EB"/>
    <w:pPr>
      <w:ind w:left="1600"/>
    </w:pPr>
  </w:style>
  <w:style w:type="character" w:customStyle="1" w:styleId="Heading3Char">
    <w:name w:val="Heading 3 Char"/>
    <w:aliases w:val="Subheading2 Char"/>
    <w:link w:val="Heading3"/>
    <w:uiPriority w:val="9"/>
    <w:rsid w:val="00180210"/>
    <w:rPr>
      <w:rFonts w:ascii="Calibri" w:eastAsia="MS Gothic" w:hAnsi="Calibri"/>
      <w:b/>
      <w:bCs/>
      <w:color w:val="002087"/>
      <w:sz w:val="26"/>
      <w:szCs w:val="28"/>
      <w:lang w:val="en-GB"/>
    </w:rPr>
  </w:style>
  <w:style w:type="character" w:customStyle="1" w:styleId="Heading4Char">
    <w:name w:val="Heading 4 Char"/>
    <w:aliases w:val="Subheading3 Char"/>
    <w:link w:val="Heading4"/>
    <w:uiPriority w:val="9"/>
    <w:rsid w:val="00180210"/>
    <w:rPr>
      <w:rFonts w:ascii="Calibri" w:hAnsi="Calibri"/>
      <w:b/>
      <w:color w:val="002087"/>
      <w:sz w:val="22"/>
      <w:szCs w:val="24"/>
      <w:lang w:val="en-GB"/>
    </w:rPr>
  </w:style>
  <w:style w:type="character" w:customStyle="1" w:styleId="Heading5Char">
    <w:name w:val="Heading 5 Char"/>
    <w:link w:val="Heading5"/>
    <w:uiPriority w:val="9"/>
    <w:rsid w:val="00C919D7"/>
    <w:rPr>
      <w:rFonts w:ascii="Cambria" w:eastAsia="MS Mincho" w:hAnsi="Cambria" w:cs="Times New Roman"/>
      <w:b/>
      <w:bCs/>
      <w:i/>
      <w:iCs/>
      <w:sz w:val="26"/>
      <w:szCs w:val="26"/>
      <w:lang w:val="en-GB"/>
    </w:rPr>
  </w:style>
  <w:style w:type="paragraph" w:customStyle="1" w:styleId="Kop3">
    <w:name w:val="Kop3"/>
    <w:basedOn w:val="Normal"/>
    <w:rsid w:val="00741CEC"/>
  </w:style>
  <w:style w:type="table" w:styleId="TableGrid">
    <w:name w:val="Table Grid"/>
    <w:basedOn w:val="TableNormal"/>
    <w:uiPriority w:val="59"/>
    <w:rsid w:val="004B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Normal"/>
    <w:rsid w:val="004B2A78"/>
    <w:rPr>
      <w:rFonts w:asciiTheme="majorHAnsi" w:hAnsiTheme="majorHAnsi"/>
      <w:lang w:val="nl-NL"/>
    </w:rPr>
  </w:style>
  <w:style w:type="paragraph" w:customStyle="1" w:styleId="Vrijevorm">
    <w:name w:val="Vrije vorm"/>
    <w:rsid w:val="00900DA5"/>
    <w:rPr>
      <w:rFonts w:ascii="Helvetica" w:eastAsia="ヒラギノ角ゴ Pro W3" w:hAnsi="Helvetica"/>
      <w:color w:val="000000"/>
      <w:sz w:val="24"/>
    </w:rPr>
  </w:style>
  <w:style w:type="paragraph" w:customStyle="1" w:styleId="frontpageSubheading">
    <w:name w:val="frontpage Subheading"/>
    <w:basedOn w:val="Normal"/>
    <w:qFormat/>
    <w:rsid w:val="00900DA5"/>
    <w:pPr>
      <w:spacing w:after="40"/>
    </w:pPr>
    <w:rPr>
      <w:b/>
      <w:color w:val="002087"/>
      <w:sz w:val="16"/>
      <w:lang w:val="en-US"/>
    </w:rPr>
  </w:style>
  <w:style w:type="paragraph" w:styleId="FootnoteText">
    <w:name w:val="footnote text"/>
    <w:aliases w:val="Schriftart: 9 pt,Schriftart: 10 pt,Schriftart: 8 pt,WB-Fußnotentext,fn,Footnotes,Footnote ak,Footnote Text Char,FoodNote,ft,Footnote text,Footnote,Footnote Text Char1,Footnote Text Char Char,Footnote Text Char1 Char Char,Podrozdział"/>
    <w:basedOn w:val="Normal"/>
    <w:link w:val="FootnoteTextChar2"/>
    <w:uiPriority w:val="99"/>
    <w:semiHidden/>
    <w:rsid w:val="002C48A4"/>
    <w:pPr>
      <w:spacing w:after="200" w:line="276" w:lineRule="auto"/>
      <w:ind w:left="357" w:hanging="357"/>
      <w:jc w:val="both"/>
    </w:pPr>
    <w:rPr>
      <w:rFonts w:eastAsiaTheme="minorEastAsia" w:cstheme="minorBidi"/>
      <w:color w:val="000F43" w:themeColor="text2" w:themeShade="80"/>
      <w:sz w:val="24"/>
      <w:szCs w:val="24"/>
      <w:lang w:val="nl-NL"/>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text Char,Footnote Char,Footnote Text Char1 Char"/>
    <w:basedOn w:val="DefaultParagraphFont"/>
    <w:link w:val="FootnoteText"/>
    <w:semiHidden/>
    <w:rsid w:val="002C48A4"/>
    <w:rPr>
      <w:rFonts w:ascii="Calibri" w:eastAsiaTheme="minorEastAsia" w:hAnsi="Calibri" w:cstheme="minorBidi"/>
      <w:color w:val="000F43" w:themeColor="text2" w:themeShade="80"/>
      <w:sz w:val="24"/>
      <w:szCs w:val="24"/>
    </w:rPr>
  </w:style>
  <w:style w:type="character" w:styleId="FootnoteReference">
    <w:name w:val="footnote reference"/>
    <w:aliases w:val="Footnote symbol,Times 10 Point,Exposant 3 Point"/>
    <w:uiPriority w:val="99"/>
    <w:semiHidden/>
    <w:rsid w:val="002C48A4"/>
    <w:rPr>
      <w:vertAlign w:val="superscript"/>
    </w:rPr>
  </w:style>
  <w:style w:type="paragraph" w:customStyle="1" w:styleId="Foottext">
    <w:name w:val="Foottext"/>
    <w:basedOn w:val="Footer"/>
    <w:qFormat/>
    <w:rsid w:val="007E252B"/>
    <w:pPr>
      <w:ind w:left="284"/>
    </w:pPr>
    <w:rPr>
      <w:color w:val="000000" w:themeColor="text1"/>
      <w:lang w:val="en-US"/>
    </w:rPr>
  </w:style>
  <w:style w:type="paragraph" w:customStyle="1" w:styleId="EndNoteBibliography">
    <w:name w:val="EndNote Bibliography"/>
    <w:basedOn w:val="Normal"/>
    <w:link w:val="EndNoteBibliographyChar"/>
    <w:rsid w:val="00A11879"/>
    <w:pPr>
      <w:spacing w:after="200" w:line="240" w:lineRule="auto"/>
    </w:pPr>
    <w:rPr>
      <w:rFonts w:eastAsiaTheme="minorHAnsi" w:cstheme="minorBidi"/>
      <w:noProof/>
      <w:sz w:val="22"/>
      <w:szCs w:val="22"/>
      <w:lang w:val="en-US" w:eastAsia="en-US"/>
    </w:rPr>
  </w:style>
  <w:style w:type="character" w:customStyle="1" w:styleId="EndNoteBibliographyChar">
    <w:name w:val="EndNote Bibliography Char"/>
    <w:basedOn w:val="DefaultParagraphFont"/>
    <w:link w:val="EndNoteBibliography"/>
    <w:rsid w:val="00A11879"/>
    <w:rPr>
      <w:rFonts w:ascii="Calibri" w:eastAsiaTheme="minorHAnsi" w:hAnsi="Calibri" w:cstheme="minorBidi"/>
      <w:noProof/>
      <w:sz w:val="22"/>
      <w:szCs w:val="22"/>
      <w:lang w:val="en-US" w:eastAsia="en-US"/>
    </w:rPr>
  </w:style>
  <w:style w:type="paragraph" w:styleId="Caption">
    <w:name w:val="caption"/>
    <w:basedOn w:val="Normal"/>
    <w:next w:val="Normal"/>
    <w:uiPriority w:val="35"/>
    <w:unhideWhenUsed/>
    <w:qFormat/>
    <w:rsid w:val="00F21DA5"/>
    <w:pPr>
      <w:spacing w:after="240" w:line="240" w:lineRule="auto"/>
    </w:pPr>
    <w:rPr>
      <w:rFonts w:eastAsiaTheme="minorHAnsi" w:cstheme="minorBidi"/>
      <w:b/>
      <w:bCs/>
      <w:sz w:val="22"/>
      <w:szCs w:val="18"/>
      <w:lang w:eastAsia="en-U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pPr>
      <w:spacing w:line="240" w:lineRule="auto"/>
    </w:pPr>
  </w:style>
  <w:style w:type="character" w:customStyle="1" w:styleId="CommentTextChar">
    <w:name w:val="Comment Text Char"/>
    <w:basedOn w:val="DefaultParagraphFont"/>
    <w:link w:val="CommentText"/>
    <w:uiPriority w:val="99"/>
    <w:semiHidden/>
    <w:rsid w:val="00377E2B"/>
    <w:rPr>
      <w:rFonts w:ascii="Calibri" w:hAnsi="Calibri"/>
      <w:lang w:val="en-GB"/>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rFonts w:ascii="Calibri" w:hAnsi="Calibri"/>
      <w:b/>
      <w:bCs/>
      <w:lang w:val="en-GB"/>
    </w:rPr>
  </w:style>
  <w:style w:type="paragraph" w:customStyle="1" w:styleId="GEDIbooktablefigure">
    <w:name w:val="GEDI book table figure"/>
    <w:basedOn w:val="Normal"/>
    <w:qFormat/>
    <w:rsid w:val="001B374C"/>
    <w:pPr>
      <w:spacing w:line="240" w:lineRule="auto"/>
    </w:pPr>
    <w:rPr>
      <w:rFonts w:ascii="Arial Narrow" w:eastAsia="Times New Roman" w:hAnsi="Arial Narrow"/>
      <w:b/>
      <w:sz w:val="24"/>
      <w:szCs w:val="24"/>
      <w:lang w:val="en-US" w:eastAsia="en-US"/>
    </w:rPr>
  </w:style>
  <w:style w:type="character" w:customStyle="1" w:styleId="italic">
    <w:name w:val="italic"/>
    <w:basedOn w:val="DefaultParagraphFont"/>
    <w:rsid w:val="00FF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04">
      <w:bodyDiv w:val="1"/>
      <w:marLeft w:val="0"/>
      <w:marRight w:val="0"/>
      <w:marTop w:val="0"/>
      <w:marBottom w:val="0"/>
      <w:divBdr>
        <w:top w:val="none" w:sz="0" w:space="0" w:color="auto"/>
        <w:left w:val="none" w:sz="0" w:space="0" w:color="auto"/>
        <w:bottom w:val="none" w:sz="0" w:space="0" w:color="auto"/>
        <w:right w:val="none" w:sz="0" w:space="0" w:color="auto"/>
      </w:divBdr>
      <w:divsChild>
        <w:div w:id="1289356699">
          <w:marLeft w:val="0"/>
          <w:marRight w:val="0"/>
          <w:marTop w:val="0"/>
          <w:marBottom w:val="0"/>
          <w:divBdr>
            <w:top w:val="none" w:sz="0" w:space="0" w:color="auto"/>
            <w:left w:val="none" w:sz="0" w:space="0" w:color="auto"/>
            <w:bottom w:val="none" w:sz="0" w:space="0" w:color="auto"/>
            <w:right w:val="none" w:sz="0" w:space="0" w:color="auto"/>
          </w:divBdr>
        </w:div>
        <w:div w:id="321084986">
          <w:marLeft w:val="0"/>
          <w:marRight w:val="0"/>
          <w:marTop w:val="0"/>
          <w:marBottom w:val="0"/>
          <w:divBdr>
            <w:top w:val="none" w:sz="0" w:space="0" w:color="auto"/>
            <w:left w:val="none" w:sz="0" w:space="0" w:color="auto"/>
            <w:bottom w:val="none" w:sz="0" w:space="0" w:color="auto"/>
            <w:right w:val="none" w:sz="0" w:space="0" w:color="auto"/>
          </w:divBdr>
        </w:div>
        <w:div w:id="111637863">
          <w:marLeft w:val="0"/>
          <w:marRight w:val="0"/>
          <w:marTop w:val="0"/>
          <w:marBottom w:val="0"/>
          <w:divBdr>
            <w:top w:val="none" w:sz="0" w:space="0" w:color="auto"/>
            <w:left w:val="none" w:sz="0" w:space="0" w:color="auto"/>
            <w:bottom w:val="none" w:sz="0" w:space="0" w:color="auto"/>
            <w:right w:val="none" w:sz="0" w:space="0" w:color="auto"/>
          </w:divBdr>
        </w:div>
        <w:div w:id="489100489">
          <w:marLeft w:val="0"/>
          <w:marRight w:val="0"/>
          <w:marTop w:val="0"/>
          <w:marBottom w:val="0"/>
          <w:divBdr>
            <w:top w:val="none" w:sz="0" w:space="0" w:color="auto"/>
            <w:left w:val="none" w:sz="0" w:space="0" w:color="auto"/>
            <w:bottom w:val="none" w:sz="0" w:space="0" w:color="auto"/>
            <w:right w:val="none" w:sz="0" w:space="0" w:color="auto"/>
          </w:divBdr>
        </w:div>
      </w:divsChild>
    </w:div>
    <w:div w:id="73166638">
      <w:bodyDiv w:val="1"/>
      <w:marLeft w:val="0"/>
      <w:marRight w:val="0"/>
      <w:marTop w:val="0"/>
      <w:marBottom w:val="0"/>
      <w:divBdr>
        <w:top w:val="none" w:sz="0" w:space="0" w:color="auto"/>
        <w:left w:val="none" w:sz="0" w:space="0" w:color="auto"/>
        <w:bottom w:val="none" w:sz="0" w:space="0" w:color="auto"/>
        <w:right w:val="none" w:sz="0" w:space="0" w:color="auto"/>
      </w:divBdr>
      <w:divsChild>
        <w:div w:id="400101671">
          <w:marLeft w:val="0"/>
          <w:marRight w:val="0"/>
          <w:marTop w:val="0"/>
          <w:marBottom w:val="0"/>
          <w:divBdr>
            <w:top w:val="none" w:sz="0" w:space="0" w:color="auto"/>
            <w:left w:val="none" w:sz="0" w:space="0" w:color="auto"/>
            <w:bottom w:val="none" w:sz="0" w:space="0" w:color="auto"/>
            <w:right w:val="none" w:sz="0" w:space="0" w:color="auto"/>
          </w:divBdr>
        </w:div>
      </w:divsChild>
    </w:div>
    <w:div w:id="101846948">
      <w:bodyDiv w:val="1"/>
      <w:marLeft w:val="0"/>
      <w:marRight w:val="0"/>
      <w:marTop w:val="0"/>
      <w:marBottom w:val="0"/>
      <w:divBdr>
        <w:top w:val="none" w:sz="0" w:space="0" w:color="auto"/>
        <w:left w:val="none" w:sz="0" w:space="0" w:color="auto"/>
        <w:bottom w:val="none" w:sz="0" w:space="0" w:color="auto"/>
        <w:right w:val="none" w:sz="0" w:space="0" w:color="auto"/>
      </w:divBdr>
      <w:divsChild>
        <w:div w:id="1361053790">
          <w:marLeft w:val="0"/>
          <w:marRight w:val="0"/>
          <w:marTop w:val="0"/>
          <w:marBottom w:val="0"/>
          <w:divBdr>
            <w:top w:val="none" w:sz="0" w:space="0" w:color="auto"/>
            <w:left w:val="none" w:sz="0" w:space="0" w:color="auto"/>
            <w:bottom w:val="none" w:sz="0" w:space="0" w:color="auto"/>
            <w:right w:val="none" w:sz="0" w:space="0" w:color="auto"/>
          </w:divBdr>
        </w:div>
      </w:divsChild>
    </w:div>
    <w:div w:id="186679083">
      <w:bodyDiv w:val="1"/>
      <w:marLeft w:val="0"/>
      <w:marRight w:val="0"/>
      <w:marTop w:val="0"/>
      <w:marBottom w:val="0"/>
      <w:divBdr>
        <w:top w:val="none" w:sz="0" w:space="0" w:color="auto"/>
        <w:left w:val="none" w:sz="0" w:space="0" w:color="auto"/>
        <w:bottom w:val="none" w:sz="0" w:space="0" w:color="auto"/>
        <w:right w:val="none" w:sz="0" w:space="0" w:color="auto"/>
      </w:divBdr>
    </w:div>
    <w:div w:id="361790673">
      <w:bodyDiv w:val="1"/>
      <w:marLeft w:val="0"/>
      <w:marRight w:val="0"/>
      <w:marTop w:val="0"/>
      <w:marBottom w:val="0"/>
      <w:divBdr>
        <w:top w:val="none" w:sz="0" w:space="0" w:color="auto"/>
        <w:left w:val="none" w:sz="0" w:space="0" w:color="auto"/>
        <w:bottom w:val="none" w:sz="0" w:space="0" w:color="auto"/>
        <w:right w:val="none" w:sz="0" w:space="0" w:color="auto"/>
      </w:divBdr>
      <w:divsChild>
        <w:div w:id="2114090116">
          <w:marLeft w:val="0"/>
          <w:marRight w:val="0"/>
          <w:marTop w:val="0"/>
          <w:marBottom w:val="0"/>
          <w:divBdr>
            <w:top w:val="none" w:sz="0" w:space="0" w:color="auto"/>
            <w:left w:val="none" w:sz="0" w:space="0" w:color="auto"/>
            <w:bottom w:val="none" w:sz="0" w:space="0" w:color="auto"/>
            <w:right w:val="none" w:sz="0" w:space="0" w:color="auto"/>
          </w:divBdr>
        </w:div>
      </w:divsChild>
    </w:div>
    <w:div w:id="462576023">
      <w:bodyDiv w:val="1"/>
      <w:marLeft w:val="0"/>
      <w:marRight w:val="0"/>
      <w:marTop w:val="0"/>
      <w:marBottom w:val="0"/>
      <w:divBdr>
        <w:top w:val="none" w:sz="0" w:space="0" w:color="auto"/>
        <w:left w:val="none" w:sz="0" w:space="0" w:color="auto"/>
        <w:bottom w:val="none" w:sz="0" w:space="0" w:color="auto"/>
        <w:right w:val="none" w:sz="0" w:space="0" w:color="auto"/>
      </w:divBdr>
      <w:divsChild>
        <w:div w:id="449055482">
          <w:marLeft w:val="0"/>
          <w:marRight w:val="0"/>
          <w:marTop w:val="0"/>
          <w:marBottom w:val="0"/>
          <w:divBdr>
            <w:top w:val="none" w:sz="0" w:space="0" w:color="auto"/>
            <w:left w:val="none" w:sz="0" w:space="0" w:color="auto"/>
            <w:bottom w:val="none" w:sz="0" w:space="0" w:color="auto"/>
            <w:right w:val="none" w:sz="0" w:space="0" w:color="auto"/>
          </w:divBdr>
        </w:div>
      </w:divsChild>
    </w:div>
    <w:div w:id="623317905">
      <w:bodyDiv w:val="1"/>
      <w:marLeft w:val="0"/>
      <w:marRight w:val="0"/>
      <w:marTop w:val="0"/>
      <w:marBottom w:val="0"/>
      <w:divBdr>
        <w:top w:val="none" w:sz="0" w:space="0" w:color="auto"/>
        <w:left w:val="none" w:sz="0" w:space="0" w:color="auto"/>
        <w:bottom w:val="none" w:sz="0" w:space="0" w:color="auto"/>
        <w:right w:val="none" w:sz="0" w:space="0" w:color="auto"/>
      </w:divBdr>
      <w:divsChild>
        <w:div w:id="1350332775">
          <w:marLeft w:val="0"/>
          <w:marRight w:val="0"/>
          <w:marTop w:val="0"/>
          <w:marBottom w:val="0"/>
          <w:divBdr>
            <w:top w:val="none" w:sz="0" w:space="0" w:color="auto"/>
            <w:left w:val="none" w:sz="0" w:space="0" w:color="auto"/>
            <w:bottom w:val="none" w:sz="0" w:space="0" w:color="auto"/>
            <w:right w:val="none" w:sz="0" w:space="0" w:color="auto"/>
          </w:divBdr>
        </w:div>
      </w:divsChild>
    </w:div>
    <w:div w:id="653988501">
      <w:bodyDiv w:val="1"/>
      <w:marLeft w:val="0"/>
      <w:marRight w:val="0"/>
      <w:marTop w:val="0"/>
      <w:marBottom w:val="0"/>
      <w:divBdr>
        <w:top w:val="none" w:sz="0" w:space="0" w:color="auto"/>
        <w:left w:val="none" w:sz="0" w:space="0" w:color="auto"/>
        <w:bottom w:val="none" w:sz="0" w:space="0" w:color="auto"/>
        <w:right w:val="none" w:sz="0" w:space="0" w:color="auto"/>
      </w:divBdr>
      <w:divsChild>
        <w:div w:id="1644653727">
          <w:marLeft w:val="0"/>
          <w:marRight w:val="0"/>
          <w:marTop w:val="0"/>
          <w:marBottom w:val="0"/>
          <w:divBdr>
            <w:top w:val="none" w:sz="0" w:space="0" w:color="auto"/>
            <w:left w:val="none" w:sz="0" w:space="0" w:color="auto"/>
            <w:bottom w:val="none" w:sz="0" w:space="0" w:color="auto"/>
            <w:right w:val="none" w:sz="0" w:space="0" w:color="auto"/>
          </w:divBdr>
        </w:div>
      </w:divsChild>
    </w:div>
    <w:div w:id="761922262">
      <w:bodyDiv w:val="1"/>
      <w:marLeft w:val="0"/>
      <w:marRight w:val="0"/>
      <w:marTop w:val="0"/>
      <w:marBottom w:val="0"/>
      <w:divBdr>
        <w:top w:val="none" w:sz="0" w:space="0" w:color="auto"/>
        <w:left w:val="none" w:sz="0" w:space="0" w:color="auto"/>
        <w:bottom w:val="none" w:sz="0" w:space="0" w:color="auto"/>
        <w:right w:val="none" w:sz="0" w:space="0" w:color="auto"/>
      </w:divBdr>
      <w:divsChild>
        <w:div w:id="1527140283">
          <w:marLeft w:val="0"/>
          <w:marRight w:val="0"/>
          <w:marTop w:val="0"/>
          <w:marBottom w:val="0"/>
          <w:divBdr>
            <w:top w:val="none" w:sz="0" w:space="0" w:color="auto"/>
            <w:left w:val="none" w:sz="0" w:space="0" w:color="auto"/>
            <w:bottom w:val="none" w:sz="0" w:space="0" w:color="auto"/>
            <w:right w:val="none" w:sz="0" w:space="0" w:color="auto"/>
          </w:divBdr>
        </w:div>
        <w:div w:id="1429354916">
          <w:marLeft w:val="0"/>
          <w:marRight w:val="0"/>
          <w:marTop w:val="0"/>
          <w:marBottom w:val="0"/>
          <w:divBdr>
            <w:top w:val="none" w:sz="0" w:space="0" w:color="auto"/>
            <w:left w:val="none" w:sz="0" w:space="0" w:color="auto"/>
            <w:bottom w:val="none" w:sz="0" w:space="0" w:color="auto"/>
            <w:right w:val="none" w:sz="0" w:space="0" w:color="auto"/>
          </w:divBdr>
        </w:div>
        <w:div w:id="1478910548">
          <w:marLeft w:val="0"/>
          <w:marRight w:val="0"/>
          <w:marTop w:val="0"/>
          <w:marBottom w:val="0"/>
          <w:divBdr>
            <w:top w:val="none" w:sz="0" w:space="0" w:color="auto"/>
            <w:left w:val="none" w:sz="0" w:space="0" w:color="auto"/>
            <w:bottom w:val="none" w:sz="0" w:space="0" w:color="auto"/>
            <w:right w:val="none" w:sz="0" w:space="0" w:color="auto"/>
          </w:divBdr>
        </w:div>
        <w:div w:id="1742094661">
          <w:marLeft w:val="0"/>
          <w:marRight w:val="0"/>
          <w:marTop w:val="0"/>
          <w:marBottom w:val="0"/>
          <w:divBdr>
            <w:top w:val="none" w:sz="0" w:space="0" w:color="auto"/>
            <w:left w:val="none" w:sz="0" w:space="0" w:color="auto"/>
            <w:bottom w:val="none" w:sz="0" w:space="0" w:color="auto"/>
            <w:right w:val="none" w:sz="0" w:space="0" w:color="auto"/>
          </w:divBdr>
        </w:div>
        <w:div w:id="394356579">
          <w:marLeft w:val="0"/>
          <w:marRight w:val="0"/>
          <w:marTop w:val="0"/>
          <w:marBottom w:val="0"/>
          <w:divBdr>
            <w:top w:val="none" w:sz="0" w:space="0" w:color="auto"/>
            <w:left w:val="none" w:sz="0" w:space="0" w:color="auto"/>
            <w:bottom w:val="none" w:sz="0" w:space="0" w:color="auto"/>
            <w:right w:val="none" w:sz="0" w:space="0" w:color="auto"/>
          </w:divBdr>
        </w:div>
        <w:div w:id="1460027393">
          <w:marLeft w:val="0"/>
          <w:marRight w:val="0"/>
          <w:marTop w:val="0"/>
          <w:marBottom w:val="0"/>
          <w:divBdr>
            <w:top w:val="none" w:sz="0" w:space="0" w:color="auto"/>
            <w:left w:val="none" w:sz="0" w:space="0" w:color="auto"/>
            <w:bottom w:val="none" w:sz="0" w:space="0" w:color="auto"/>
            <w:right w:val="none" w:sz="0" w:space="0" w:color="auto"/>
          </w:divBdr>
        </w:div>
        <w:div w:id="2058779407">
          <w:marLeft w:val="0"/>
          <w:marRight w:val="0"/>
          <w:marTop w:val="0"/>
          <w:marBottom w:val="0"/>
          <w:divBdr>
            <w:top w:val="none" w:sz="0" w:space="0" w:color="auto"/>
            <w:left w:val="none" w:sz="0" w:space="0" w:color="auto"/>
            <w:bottom w:val="none" w:sz="0" w:space="0" w:color="auto"/>
            <w:right w:val="none" w:sz="0" w:space="0" w:color="auto"/>
          </w:divBdr>
        </w:div>
      </w:divsChild>
    </w:div>
    <w:div w:id="806701165">
      <w:bodyDiv w:val="1"/>
      <w:marLeft w:val="0"/>
      <w:marRight w:val="0"/>
      <w:marTop w:val="0"/>
      <w:marBottom w:val="0"/>
      <w:divBdr>
        <w:top w:val="none" w:sz="0" w:space="0" w:color="auto"/>
        <w:left w:val="none" w:sz="0" w:space="0" w:color="auto"/>
        <w:bottom w:val="none" w:sz="0" w:space="0" w:color="auto"/>
        <w:right w:val="none" w:sz="0" w:space="0" w:color="auto"/>
      </w:divBdr>
      <w:divsChild>
        <w:div w:id="250353737">
          <w:marLeft w:val="0"/>
          <w:marRight w:val="0"/>
          <w:marTop w:val="0"/>
          <w:marBottom w:val="0"/>
          <w:divBdr>
            <w:top w:val="none" w:sz="0" w:space="0" w:color="auto"/>
            <w:left w:val="none" w:sz="0" w:space="0" w:color="auto"/>
            <w:bottom w:val="none" w:sz="0" w:space="0" w:color="auto"/>
            <w:right w:val="none" w:sz="0" w:space="0" w:color="auto"/>
          </w:divBdr>
        </w:div>
      </w:divsChild>
    </w:div>
    <w:div w:id="827791422">
      <w:bodyDiv w:val="1"/>
      <w:marLeft w:val="0"/>
      <w:marRight w:val="0"/>
      <w:marTop w:val="0"/>
      <w:marBottom w:val="0"/>
      <w:divBdr>
        <w:top w:val="none" w:sz="0" w:space="0" w:color="auto"/>
        <w:left w:val="none" w:sz="0" w:space="0" w:color="auto"/>
        <w:bottom w:val="none" w:sz="0" w:space="0" w:color="auto"/>
        <w:right w:val="none" w:sz="0" w:space="0" w:color="auto"/>
      </w:divBdr>
      <w:divsChild>
        <w:div w:id="262343425">
          <w:marLeft w:val="0"/>
          <w:marRight w:val="0"/>
          <w:marTop w:val="0"/>
          <w:marBottom w:val="0"/>
          <w:divBdr>
            <w:top w:val="none" w:sz="0" w:space="0" w:color="auto"/>
            <w:left w:val="none" w:sz="0" w:space="0" w:color="auto"/>
            <w:bottom w:val="none" w:sz="0" w:space="0" w:color="auto"/>
            <w:right w:val="none" w:sz="0" w:space="0" w:color="auto"/>
          </w:divBdr>
        </w:div>
      </w:divsChild>
    </w:div>
    <w:div w:id="902981275">
      <w:bodyDiv w:val="1"/>
      <w:marLeft w:val="0"/>
      <w:marRight w:val="0"/>
      <w:marTop w:val="0"/>
      <w:marBottom w:val="0"/>
      <w:divBdr>
        <w:top w:val="none" w:sz="0" w:space="0" w:color="auto"/>
        <w:left w:val="none" w:sz="0" w:space="0" w:color="auto"/>
        <w:bottom w:val="none" w:sz="0" w:space="0" w:color="auto"/>
        <w:right w:val="none" w:sz="0" w:space="0" w:color="auto"/>
      </w:divBdr>
      <w:divsChild>
        <w:div w:id="360401066">
          <w:marLeft w:val="0"/>
          <w:marRight w:val="0"/>
          <w:marTop w:val="0"/>
          <w:marBottom w:val="0"/>
          <w:divBdr>
            <w:top w:val="none" w:sz="0" w:space="0" w:color="auto"/>
            <w:left w:val="none" w:sz="0" w:space="0" w:color="auto"/>
            <w:bottom w:val="none" w:sz="0" w:space="0" w:color="auto"/>
            <w:right w:val="none" w:sz="0" w:space="0" w:color="auto"/>
          </w:divBdr>
        </w:div>
      </w:divsChild>
    </w:div>
    <w:div w:id="949044922">
      <w:bodyDiv w:val="1"/>
      <w:marLeft w:val="0"/>
      <w:marRight w:val="0"/>
      <w:marTop w:val="0"/>
      <w:marBottom w:val="0"/>
      <w:divBdr>
        <w:top w:val="none" w:sz="0" w:space="0" w:color="auto"/>
        <w:left w:val="none" w:sz="0" w:space="0" w:color="auto"/>
        <w:bottom w:val="none" w:sz="0" w:space="0" w:color="auto"/>
        <w:right w:val="none" w:sz="0" w:space="0" w:color="auto"/>
      </w:divBdr>
      <w:divsChild>
        <w:div w:id="585965501">
          <w:marLeft w:val="0"/>
          <w:marRight w:val="0"/>
          <w:marTop w:val="0"/>
          <w:marBottom w:val="0"/>
          <w:divBdr>
            <w:top w:val="none" w:sz="0" w:space="0" w:color="auto"/>
            <w:left w:val="none" w:sz="0" w:space="0" w:color="auto"/>
            <w:bottom w:val="none" w:sz="0" w:space="0" w:color="auto"/>
            <w:right w:val="none" w:sz="0" w:space="0" w:color="auto"/>
          </w:divBdr>
        </w:div>
      </w:divsChild>
    </w:div>
    <w:div w:id="954485298">
      <w:bodyDiv w:val="1"/>
      <w:marLeft w:val="0"/>
      <w:marRight w:val="0"/>
      <w:marTop w:val="0"/>
      <w:marBottom w:val="0"/>
      <w:divBdr>
        <w:top w:val="none" w:sz="0" w:space="0" w:color="auto"/>
        <w:left w:val="none" w:sz="0" w:space="0" w:color="auto"/>
        <w:bottom w:val="none" w:sz="0" w:space="0" w:color="auto"/>
        <w:right w:val="none" w:sz="0" w:space="0" w:color="auto"/>
      </w:divBdr>
      <w:divsChild>
        <w:div w:id="563106389">
          <w:marLeft w:val="0"/>
          <w:marRight w:val="0"/>
          <w:marTop w:val="0"/>
          <w:marBottom w:val="0"/>
          <w:divBdr>
            <w:top w:val="none" w:sz="0" w:space="0" w:color="auto"/>
            <w:left w:val="none" w:sz="0" w:space="0" w:color="auto"/>
            <w:bottom w:val="none" w:sz="0" w:space="0" w:color="auto"/>
            <w:right w:val="none" w:sz="0" w:space="0" w:color="auto"/>
          </w:divBdr>
        </w:div>
      </w:divsChild>
    </w:div>
    <w:div w:id="1122194030">
      <w:bodyDiv w:val="1"/>
      <w:marLeft w:val="0"/>
      <w:marRight w:val="0"/>
      <w:marTop w:val="0"/>
      <w:marBottom w:val="0"/>
      <w:divBdr>
        <w:top w:val="none" w:sz="0" w:space="0" w:color="auto"/>
        <w:left w:val="none" w:sz="0" w:space="0" w:color="auto"/>
        <w:bottom w:val="none" w:sz="0" w:space="0" w:color="auto"/>
        <w:right w:val="none" w:sz="0" w:space="0" w:color="auto"/>
      </w:divBdr>
      <w:divsChild>
        <w:div w:id="1957787047">
          <w:marLeft w:val="0"/>
          <w:marRight w:val="0"/>
          <w:marTop w:val="0"/>
          <w:marBottom w:val="0"/>
          <w:divBdr>
            <w:top w:val="none" w:sz="0" w:space="0" w:color="auto"/>
            <w:left w:val="none" w:sz="0" w:space="0" w:color="auto"/>
            <w:bottom w:val="none" w:sz="0" w:space="0" w:color="auto"/>
            <w:right w:val="none" w:sz="0" w:space="0" w:color="auto"/>
          </w:divBdr>
        </w:div>
      </w:divsChild>
    </w:div>
    <w:div w:id="1310162222">
      <w:bodyDiv w:val="1"/>
      <w:marLeft w:val="0"/>
      <w:marRight w:val="0"/>
      <w:marTop w:val="0"/>
      <w:marBottom w:val="0"/>
      <w:divBdr>
        <w:top w:val="none" w:sz="0" w:space="0" w:color="auto"/>
        <w:left w:val="none" w:sz="0" w:space="0" w:color="auto"/>
        <w:bottom w:val="none" w:sz="0" w:space="0" w:color="auto"/>
        <w:right w:val="none" w:sz="0" w:space="0" w:color="auto"/>
      </w:divBdr>
      <w:divsChild>
        <w:div w:id="180051880">
          <w:marLeft w:val="0"/>
          <w:marRight w:val="0"/>
          <w:marTop w:val="0"/>
          <w:marBottom w:val="0"/>
          <w:divBdr>
            <w:top w:val="none" w:sz="0" w:space="0" w:color="auto"/>
            <w:left w:val="none" w:sz="0" w:space="0" w:color="auto"/>
            <w:bottom w:val="none" w:sz="0" w:space="0" w:color="auto"/>
            <w:right w:val="none" w:sz="0" w:space="0" w:color="auto"/>
          </w:divBdr>
        </w:div>
      </w:divsChild>
    </w:div>
    <w:div w:id="1349023665">
      <w:bodyDiv w:val="1"/>
      <w:marLeft w:val="0"/>
      <w:marRight w:val="0"/>
      <w:marTop w:val="0"/>
      <w:marBottom w:val="0"/>
      <w:divBdr>
        <w:top w:val="none" w:sz="0" w:space="0" w:color="auto"/>
        <w:left w:val="none" w:sz="0" w:space="0" w:color="auto"/>
        <w:bottom w:val="none" w:sz="0" w:space="0" w:color="auto"/>
        <w:right w:val="none" w:sz="0" w:space="0" w:color="auto"/>
      </w:divBdr>
      <w:divsChild>
        <w:div w:id="335812221">
          <w:marLeft w:val="0"/>
          <w:marRight w:val="0"/>
          <w:marTop w:val="0"/>
          <w:marBottom w:val="0"/>
          <w:divBdr>
            <w:top w:val="none" w:sz="0" w:space="0" w:color="auto"/>
            <w:left w:val="none" w:sz="0" w:space="0" w:color="auto"/>
            <w:bottom w:val="none" w:sz="0" w:space="0" w:color="auto"/>
            <w:right w:val="none" w:sz="0" w:space="0" w:color="auto"/>
          </w:divBdr>
        </w:div>
      </w:divsChild>
    </w:div>
    <w:div w:id="1464615170">
      <w:bodyDiv w:val="1"/>
      <w:marLeft w:val="0"/>
      <w:marRight w:val="0"/>
      <w:marTop w:val="0"/>
      <w:marBottom w:val="0"/>
      <w:divBdr>
        <w:top w:val="none" w:sz="0" w:space="0" w:color="auto"/>
        <w:left w:val="none" w:sz="0" w:space="0" w:color="auto"/>
        <w:bottom w:val="none" w:sz="0" w:space="0" w:color="auto"/>
        <w:right w:val="none" w:sz="0" w:space="0" w:color="auto"/>
      </w:divBdr>
      <w:divsChild>
        <w:div w:id="1855144703">
          <w:marLeft w:val="0"/>
          <w:marRight w:val="0"/>
          <w:marTop w:val="0"/>
          <w:marBottom w:val="0"/>
          <w:divBdr>
            <w:top w:val="none" w:sz="0" w:space="0" w:color="auto"/>
            <w:left w:val="none" w:sz="0" w:space="0" w:color="auto"/>
            <w:bottom w:val="none" w:sz="0" w:space="0" w:color="auto"/>
            <w:right w:val="none" w:sz="0" w:space="0" w:color="auto"/>
          </w:divBdr>
        </w:div>
      </w:divsChild>
    </w:div>
    <w:div w:id="1516576351">
      <w:bodyDiv w:val="1"/>
      <w:marLeft w:val="0"/>
      <w:marRight w:val="0"/>
      <w:marTop w:val="0"/>
      <w:marBottom w:val="0"/>
      <w:divBdr>
        <w:top w:val="none" w:sz="0" w:space="0" w:color="auto"/>
        <w:left w:val="none" w:sz="0" w:space="0" w:color="auto"/>
        <w:bottom w:val="none" w:sz="0" w:space="0" w:color="auto"/>
        <w:right w:val="none" w:sz="0" w:space="0" w:color="auto"/>
      </w:divBdr>
      <w:divsChild>
        <w:div w:id="264115120">
          <w:marLeft w:val="0"/>
          <w:marRight w:val="0"/>
          <w:marTop w:val="0"/>
          <w:marBottom w:val="0"/>
          <w:divBdr>
            <w:top w:val="none" w:sz="0" w:space="0" w:color="auto"/>
            <w:left w:val="none" w:sz="0" w:space="0" w:color="auto"/>
            <w:bottom w:val="none" w:sz="0" w:space="0" w:color="auto"/>
            <w:right w:val="none" w:sz="0" w:space="0" w:color="auto"/>
          </w:divBdr>
        </w:div>
      </w:divsChild>
    </w:div>
    <w:div w:id="1543126381">
      <w:bodyDiv w:val="1"/>
      <w:marLeft w:val="0"/>
      <w:marRight w:val="0"/>
      <w:marTop w:val="0"/>
      <w:marBottom w:val="0"/>
      <w:divBdr>
        <w:top w:val="none" w:sz="0" w:space="0" w:color="auto"/>
        <w:left w:val="none" w:sz="0" w:space="0" w:color="auto"/>
        <w:bottom w:val="none" w:sz="0" w:space="0" w:color="auto"/>
        <w:right w:val="none" w:sz="0" w:space="0" w:color="auto"/>
      </w:divBdr>
      <w:divsChild>
        <w:div w:id="2026007058">
          <w:marLeft w:val="0"/>
          <w:marRight w:val="0"/>
          <w:marTop w:val="0"/>
          <w:marBottom w:val="0"/>
          <w:divBdr>
            <w:top w:val="none" w:sz="0" w:space="0" w:color="auto"/>
            <w:left w:val="none" w:sz="0" w:space="0" w:color="auto"/>
            <w:bottom w:val="none" w:sz="0" w:space="0" w:color="auto"/>
            <w:right w:val="none" w:sz="0" w:space="0" w:color="auto"/>
          </w:divBdr>
        </w:div>
      </w:divsChild>
    </w:div>
    <w:div w:id="1556500626">
      <w:bodyDiv w:val="1"/>
      <w:marLeft w:val="0"/>
      <w:marRight w:val="0"/>
      <w:marTop w:val="0"/>
      <w:marBottom w:val="0"/>
      <w:divBdr>
        <w:top w:val="none" w:sz="0" w:space="0" w:color="auto"/>
        <w:left w:val="none" w:sz="0" w:space="0" w:color="auto"/>
        <w:bottom w:val="none" w:sz="0" w:space="0" w:color="auto"/>
        <w:right w:val="none" w:sz="0" w:space="0" w:color="auto"/>
      </w:divBdr>
      <w:divsChild>
        <w:div w:id="928776673">
          <w:marLeft w:val="0"/>
          <w:marRight w:val="0"/>
          <w:marTop w:val="0"/>
          <w:marBottom w:val="0"/>
          <w:divBdr>
            <w:top w:val="none" w:sz="0" w:space="0" w:color="auto"/>
            <w:left w:val="none" w:sz="0" w:space="0" w:color="auto"/>
            <w:bottom w:val="none" w:sz="0" w:space="0" w:color="auto"/>
            <w:right w:val="none" w:sz="0" w:space="0" w:color="auto"/>
          </w:divBdr>
        </w:div>
        <w:div w:id="734593872">
          <w:marLeft w:val="0"/>
          <w:marRight w:val="0"/>
          <w:marTop w:val="0"/>
          <w:marBottom w:val="0"/>
          <w:divBdr>
            <w:top w:val="none" w:sz="0" w:space="0" w:color="auto"/>
            <w:left w:val="none" w:sz="0" w:space="0" w:color="auto"/>
            <w:bottom w:val="none" w:sz="0" w:space="0" w:color="auto"/>
            <w:right w:val="none" w:sz="0" w:space="0" w:color="auto"/>
          </w:divBdr>
        </w:div>
        <w:div w:id="698775982">
          <w:marLeft w:val="0"/>
          <w:marRight w:val="0"/>
          <w:marTop w:val="0"/>
          <w:marBottom w:val="0"/>
          <w:divBdr>
            <w:top w:val="none" w:sz="0" w:space="0" w:color="auto"/>
            <w:left w:val="none" w:sz="0" w:space="0" w:color="auto"/>
            <w:bottom w:val="none" w:sz="0" w:space="0" w:color="auto"/>
            <w:right w:val="none" w:sz="0" w:space="0" w:color="auto"/>
          </w:divBdr>
        </w:div>
        <w:div w:id="923607819">
          <w:marLeft w:val="0"/>
          <w:marRight w:val="0"/>
          <w:marTop w:val="0"/>
          <w:marBottom w:val="0"/>
          <w:divBdr>
            <w:top w:val="none" w:sz="0" w:space="0" w:color="auto"/>
            <w:left w:val="none" w:sz="0" w:space="0" w:color="auto"/>
            <w:bottom w:val="none" w:sz="0" w:space="0" w:color="auto"/>
            <w:right w:val="none" w:sz="0" w:space="0" w:color="auto"/>
          </w:divBdr>
        </w:div>
      </w:divsChild>
    </w:div>
    <w:div w:id="1578398581">
      <w:bodyDiv w:val="1"/>
      <w:marLeft w:val="0"/>
      <w:marRight w:val="0"/>
      <w:marTop w:val="0"/>
      <w:marBottom w:val="0"/>
      <w:divBdr>
        <w:top w:val="none" w:sz="0" w:space="0" w:color="auto"/>
        <w:left w:val="none" w:sz="0" w:space="0" w:color="auto"/>
        <w:bottom w:val="none" w:sz="0" w:space="0" w:color="auto"/>
        <w:right w:val="none" w:sz="0" w:space="0" w:color="auto"/>
      </w:divBdr>
      <w:divsChild>
        <w:div w:id="671760261">
          <w:marLeft w:val="0"/>
          <w:marRight w:val="0"/>
          <w:marTop w:val="0"/>
          <w:marBottom w:val="0"/>
          <w:divBdr>
            <w:top w:val="none" w:sz="0" w:space="0" w:color="auto"/>
            <w:left w:val="none" w:sz="0" w:space="0" w:color="auto"/>
            <w:bottom w:val="none" w:sz="0" w:space="0" w:color="auto"/>
            <w:right w:val="none" w:sz="0" w:space="0" w:color="auto"/>
          </w:divBdr>
        </w:div>
      </w:divsChild>
    </w:div>
    <w:div w:id="1884366381">
      <w:bodyDiv w:val="1"/>
      <w:marLeft w:val="0"/>
      <w:marRight w:val="0"/>
      <w:marTop w:val="0"/>
      <w:marBottom w:val="0"/>
      <w:divBdr>
        <w:top w:val="none" w:sz="0" w:space="0" w:color="auto"/>
        <w:left w:val="none" w:sz="0" w:space="0" w:color="auto"/>
        <w:bottom w:val="none" w:sz="0" w:space="0" w:color="auto"/>
        <w:right w:val="none" w:sz="0" w:space="0" w:color="auto"/>
      </w:divBdr>
      <w:divsChild>
        <w:div w:id="857695475">
          <w:marLeft w:val="0"/>
          <w:marRight w:val="0"/>
          <w:marTop w:val="0"/>
          <w:marBottom w:val="0"/>
          <w:divBdr>
            <w:top w:val="none" w:sz="0" w:space="0" w:color="auto"/>
            <w:left w:val="none" w:sz="0" w:space="0" w:color="auto"/>
            <w:bottom w:val="none" w:sz="0" w:space="0" w:color="auto"/>
            <w:right w:val="none" w:sz="0" w:space="0" w:color="auto"/>
          </w:divBdr>
        </w:div>
      </w:divsChild>
    </w:div>
    <w:div w:id="2042852784">
      <w:bodyDiv w:val="1"/>
      <w:marLeft w:val="0"/>
      <w:marRight w:val="0"/>
      <w:marTop w:val="0"/>
      <w:marBottom w:val="0"/>
      <w:divBdr>
        <w:top w:val="none" w:sz="0" w:space="0" w:color="auto"/>
        <w:left w:val="none" w:sz="0" w:space="0" w:color="auto"/>
        <w:bottom w:val="none" w:sz="0" w:space="0" w:color="auto"/>
        <w:right w:val="none" w:sz="0" w:space="0" w:color="auto"/>
      </w:divBdr>
      <w:divsChild>
        <w:div w:id="20134312">
          <w:marLeft w:val="0"/>
          <w:marRight w:val="0"/>
          <w:marTop w:val="0"/>
          <w:marBottom w:val="0"/>
          <w:divBdr>
            <w:top w:val="none" w:sz="0" w:space="0" w:color="auto"/>
            <w:left w:val="none" w:sz="0" w:space="0" w:color="auto"/>
            <w:bottom w:val="none" w:sz="0" w:space="0" w:color="auto"/>
            <w:right w:val="none" w:sz="0" w:space="0" w:color="auto"/>
          </w:divBdr>
        </w:div>
      </w:divsChild>
    </w:div>
    <w:div w:id="2061587603">
      <w:bodyDiv w:val="1"/>
      <w:marLeft w:val="0"/>
      <w:marRight w:val="0"/>
      <w:marTop w:val="0"/>
      <w:marBottom w:val="0"/>
      <w:divBdr>
        <w:top w:val="none" w:sz="0" w:space="0" w:color="auto"/>
        <w:left w:val="none" w:sz="0" w:space="0" w:color="auto"/>
        <w:bottom w:val="none" w:sz="0" w:space="0" w:color="auto"/>
        <w:right w:val="none" w:sz="0" w:space="0" w:color="auto"/>
      </w:divBdr>
      <w:divsChild>
        <w:div w:id="1249851966">
          <w:marLeft w:val="0"/>
          <w:marRight w:val="0"/>
          <w:marTop w:val="0"/>
          <w:marBottom w:val="0"/>
          <w:divBdr>
            <w:top w:val="none" w:sz="0" w:space="0" w:color="auto"/>
            <w:left w:val="none" w:sz="0" w:space="0" w:color="auto"/>
            <w:bottom w:val="none" w:sz="0" w:space="0" w:color="auto"/>
            <w:right w:val="none" w:sz="0" w:space="0" w:color="auto"/>
          </w:divBdr>
        </w:div>
      </w:divsChild>
    </w:div>
    <w:div w:id="2114282003">
      <w:bodyDiv w:val="1"/>
      <w:marLeft w:val="0"/>
      <w:marRight w:val="0"/>
      <w:marTop w:val="0"/>
      <w:marBottom w:val="0"/>
      <w:divBdr>
        <w:top w:val="none" w:sz="0" w:space="0" w:color="auto"/>
        <w:left w:val="none" w:sz="0" w:space="0" w:color="auto"/>
        <w:bottom w:val="none" w:sz="0" w:space="0" w:color="auto"/>
        <w:right w:val="none" w:sz="0" w:space="0" w:color="auto"/>
      </w:divBdr>
      <w:divsChild>
        <w:div w:id="6716858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worldbank.org/governance/wgi/pdf/WGI.pdf" TargetMode="External"/><Relationship Id="rId18" Type="http://schemas.openxmlformats.org/officeDocument/2006/relationships/footer" Target="footer2.xml"/><Relationship Id="rId26" Type="http://schemas.openxmlformats.org/officeDocument/2006/relationships/hyperlink" Target="http://blog.iese.edu/vcpeindex/about/" TargetMode="External"/><Relationship Id="rId3" Type="http://schemas.openxmlformats.org/officeDocument/2006/relationships/styles" Target="styles.xml"/><Relationship Id="rId21" Type="http://schemas.openxmlformats.org/officeDocument/2006/relationships/hyperlink" Target="http://stats.uis.unesco.org/unesco/TableViewer/tableView.aspx?ReportId=16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rn.com/abstract=1155480" TargetMode="External"/><Relationship Id="rId17" Type="http://schemas.openxmlformats.org/officeDocument/2006/relationships/footer" Target="footer1.xml"/><Relationship Id="rId25" Type="http://schemas.openxmlformats.org/officeDocument/2006/relationships/hyperlink" Target="http://129.3.20.41/eps/dev/papers/0210/0210004.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bes.com/sites/chancebarnett/2015/06/09/trends-show-crowdfunding-to-surpass-vc-in-2016/2/" TargetMode="External"/><Relationship Id="rId24" Type="http://schemas.openxmlformats.org/officeDocument/2006/relationships/hyperlink" Target="http://globalization.kof.ethz.ch/media/filer_public/2013/03/25/rankings_2013.pdf"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tats.uis.unesco.org/unesco/TableViewer/tableView.aspx?ReportId=2656" TargetMode="Externa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wc.com/payingtaxes" TargetMode="External"/><Relationship Id="rId22" Type="http://schemas.openxmlformats.org/officeDocument/2006/relationships/hyperlink" Target="http://www.heritage.org/Index/pdf/Index09_Methodology.pdf" TargetMode="External"/><Relationship Id="rId27" Type="http://schemas.openxmlformats.org/officeDocument/2006/relationships/header" Target="header4.xml"/><Relationship Id="rId30"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ires theme v1.0 i1.1">
  <a:themeElements>
    <a:clrScheme name="Aangepast 1">
      <a:dk1>
        <a:sysClr val="windowText" lastClr="000000"/>
      </a:dk1>
      <a:lt1>
        <a:sysClr val="window" lastClr="FFFFFF"/>
      </a:lt1>
      <a:dk2>
        <a:srgbClr val="002087"/>
      </a:dk2>
      <a:lt2>
        <a:srgbClr val="EEECE1"/>
      </a:lt2>
      <a:accent1>
        <a:srgbClr val="002087"/>
      </a:accent1>
      <a:accent2>
        <a:srgbClr val="F49300"/>
      </a:accent2>
      <a:accent3>
        <a:srgbClr val="FAC009"/>
      </a:accent3>
      <a:accent4>
        <a:srgbClr val="DD3836"/>
      </a:accent4>
      <a:accent5>
        <a:srgbClr val="D5D5D5"/>
      </a:accent5>
      <a:accent6>
        <a:srgbClr val="B4E1F0"/>
      </a:accent6>
      <a:hlink>
        <a:srgbClr val="002087"/>
      </a:hlink>
      <a:folHlink>
        <a:srgbClr val="053534"/>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23A2E-2B72-4A54-A009-D1507F8A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A9E1F722.dotm</Template>
  <TotalTime>0</TotalTime>
  <Pages>33</Pages>
  <Words>11708</Words>
  <Characters>64400</Characters>
  <Application>Microsoft Office Word</Application>
  <DocSecurity>0</DocSecurity>
  <Lines>536</Lines>
  <Paragraphs>151</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
      <vt:lpstr/>
      <vt:lpstr/>
    </vt:vector>
  </TitlesOfParts>
  <Company>Everybody Likes Penguins</Company>
  <LinksUpToDate>false</LinksUpToDate>
  <CharactersWithSpaces>75957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van den Hurk</dc:creator>
  <cp:lastModifiedBy>Chýlková, M. (Martina)</cp:lastModifiedBy>
  <cp:revision>10</cp:revision>
  <cp:lastPrinted>2016-03-30T09:28:00Z</cp:lastPrinted>
  <dcterms:created xsi:type="dcterms:W3CDTF">2016-03-30T09:17:00Z</dcterms:created>
  <dcterms:modified xsi:type="dcterms:W3CDTF">2016-03-30T09:28:00Z</dcterms:modified>
</cp:coreProperties>
</file>